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版本号：CT-ZB00-326-202520251223001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耀州区2025年农业生态资源保护资金地膜科学使用回收项目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CT-ZB00-326-2025</w:t>
      </w:r>
      <w:r>
        <w:br/>
      </w:r>
      <w:r>
        <w:br/>
      </w:r>
      <w:r>
        <w:br/>
      </w:r>
    </w:p>
    <w:p>
      <w:pPr>
        <w:pStyle w:val="null3"/>
        <w:jc w:val="center"/>
        <w:outlineLvl w:val="2"/>
      </w:pPr>
      <w:r>
        <w:rPr>
          <w:rFonts w:ascii="仿宋_GB2312" w:hAnsi="仿宋_GB2312" w:cs="仿宋_GB2312" w:eastAsia="仿宋_GB2312"/>
          <w:sz w:val="28"/>
          <w:b/>
        </w:rPr>
        <w:t>铜川市耀州区农业农村局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铜川市耀州区农业农村局</w:t>
      </w:r>
      <w:r>
        <w:rPr>
          <w:rFonts w:ascii="仿宋_GB2312" w:hAnsi="仿宋_GB2312" w:cs="仿宋_GB2312" w:eastAsia="仿宋_GB2312"/>
        </w:rPr>
        <w:t>委托，拟对</w:t>
      </w:r>
      <w:r>
        <w:rPr>
          <w:rFonts w:ascii="仿宋_GB2312" w:hAnsi="仿宋_GB2312" w:cs="仿宋_GB2312" w:eastAsia="仿宋_GB2312"/>
        </w:rPr>
        <w:t>耀州区2025年农业生态资源保护资金地膜科学使用回收项目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CT-ZB00-326-2025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耀州区2025年农业生态资源保护资金地膜科学使用回收项目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耀州区2025年农业生态资源保护资金地膜科学使用回收项目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采购包1（耀州区2025年农业生态资源保护资金地膜科学使用回收项目）：属于专门面向中小企业采购。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1、营业执照等主体资格证明文件：供应商提供有效存续的企业营业执照（含最新年度报告）</w:t>
      </w:r>
    </w:p>
    <w:p>
      <w:pPr>
        <w:pStyle w:val="null3"/>
      </w:pPr>
      <w:r>
        <w:rPr>
          <w:rFonts w:ascii="仿宋_GB2312" w:hAnsi="仿宋_GB2312" w:cs="仿宋_GB2312" w:eastAsia="仿宋_GB2312"/>
        </w:rPr>
        <w:t>2、法人授权书，法人资格证明：法定代表人参加投标的，须提供本人身份证复印件；法定代表人授权他人参加投标的，须提供法定代表人授权委托书、授权代表身份证、授权代表有效的劳动合同或在本单位近6个月内任意一个月缴纳的养老保险证明。</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1日至投标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信用中国：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p>
      <w:pPr>
        <w:pStyle w:val="null3"/>
      </w:pPr>
      <w:r>
        <w:rPr>
          <w:rFonts w:ascii="仿宋_GB2312" w:hAnsi="仿宋_GB2312" w:cs="仿宋_GB2312" w:eastAsia="仿宋_GB2312"/>
        </w:rPr>
        <w:t>7、具有履行合同所必需的设备和专业技术能力：以承诺书加盖公章为准</w:t>
      </w:r>
    </w:p>
    <w:p>
      <w:pPr>
        <w:pStyle w:val="null3"/>
      </w:pPr>
      <w:r>
        <w:rPr>
          <w:rFonts w:ascii="仿宋_GB2312" w:hAnsi="仿宋_GB2312" w:cs="仿宋_GB2312" w:eastAsia="仿宋_GB2312"/>
        </w:rPr>
        <w:t>8、供应商提供《非联合体投标不分包声明》：以声明函加盖公章为准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陕西省铜川市耀州区锦阳新城综合楼10楼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张冬颖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0919-6189143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王超 王涛 白丹 付中明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18066880399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采购包1：2,058,000.00元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代理服务费收费标准：1、招标代理服务费参照国家计委颁布 《招标代理服务收费管理暂行办法》（计价格[2002]1980号）和国家发展改革委员会办公厅颁 发的《关于降低部分建设项目收费标准规范收费行为等有关问题的通知》（发改价格[2011]534号）文件规定标准。招标代理服务费：贰万陆仟元整(￥26000.00元)。 2、中标服务费由中标单位支付，中标单位在领取《中标通知书》前 , 须向招标代理机构支付中标服务费。 户名：中昕国际项目管理有限公司 账号：61050178150000000278开户银行：中国建设银行股份有限公司西安文景路支行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铜川市耀州区农业农村局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1.质量标准：需满足国家及行业验收合格标准；2.验收标准：按招标文件、投标文件、项目交付情况等综合指标进行验收。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 王涛 白丹 付中明</w:t>
      </w:r>
    </w:p>
    <w:p>
      <w:pPr>
        <w:pStyle w:val="null3"/>
      </w:pPr>
      <w:r>
        <w:rPr>
          <w:rFonts w:ascii="仿宋_GB2312" w:hAnsi="仿宋_GB2312" w:cs="仿宋_GB2312" w:eastAsia="仿宋_GB2312"/>
        </w:rPr>
        <w:t>联系电话：18066880399</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2025年，在全区推广地膜科学使用试点面积8.11万亩，其中：加厚高强度地膜推广面积7.2万亩，全生物降解地膜推广面积0.91万亩，适时开展技术培训和技术推广服务。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2,058,000.00</w:t>
      </w:r>
    </w:p>
    <w:p>
      <w:pPr>
        <w:pStyle w:val="null3"/>
      </w:pPr>
      <w:r>
        <w:rPr>
          <w:rFonts w:ascii="仿宋_GB2312" w:hAnsi="仿宋_GB2312" w:cs="仿宋_GB2312" w:eastAsia="仿宋_GB2312"/>
        </w:rPr>
        <w:t>采购包最高限价（元）: 2,058,000.00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高强度加厚地膜、高强度加厚地膜（反光膜）、全生物降解地膜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标的名称：高强度加厚地膜、高强度加厚地膜（反光膜）、全生物降解地膜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加厚高强度地膜</w:t>
            </w:r>
          </w:p>
          <w:p>
            <w:pPr>
              <w:pStyle w:val="null3"/>
            </w:pPr>
            <w:r>
              <w:rPr>
                <w:rFonts w:ascii="仿宋_GB2312" w:hAnsi="仿宋_GB2312" w:cs="仿宋_GB2312" w:eastAsia="仿宋_GB2312"/>
              </w:rPr>
              <w:t>1、执行标准:符合GB13735-2017中的I类耐老化地膜标准。</w:t>
            </w:r>
          </w:p>
          <w:p>
            <w:pPr>
              <w:pStyle w:val="null3"/>
            </w:pPr>
            <w:r>
              <w:rPr>
                <w:rFonts w:ascii="仿宋_GB2312" w:hAnsi="仿宋_GB2312" w:cs="仿宋_GB2312" w:eastAsia="仿宋_GB2312"/>
              </w:rPr>
              <w:t>2、采购数量：预估32吨。</w:t>
            </w:r>
          </w:p>
          <w:p>
            <w:pPr>
              <w:pStyle w:val="null3"/>
            </w:pPr>
            <w:r>
              <w:rPr>
                <w:rFonts w:ascii="仿宋_GB2312" w:hAnsi="仿宋_GB2312" w:cs="仿宋_GB2312" w:eastAsia="仿宋_GB2312"/>
              </w:rPr>
              <w:t>3、颜色:白色、黑色。</w:t>
            </w:r>
          </w:p>
          <w:p>
            <w:pPr>
              <w:pStyle w:val="null3"/>
            </w:pPr>
            <w:r>
              <w:rPr>
                <w:rFonts w:ascii="仿宋_GB2312" w:hAnsi="仿宋_GB2312" w:cs="仿宋_GB2312" w:eastAsia="仿宋_GB2312"/>
              </w:rPr>
              <w:t>4、厚度:0.015mm，厚度偏差+0.004mm;-0.003mm。</w:t>
            </w:r>
          </w:p>
          <w:p>
            <w:pPr>
              <w:pStyle w:val="null3"/>
            </w:pPr>
            <w:r>
              <w:rPr>
                <w:rFonts w:ascii="仿宋_GB2312" w:hAnsi="仿宋_GB2312" w:cs="仿宋_GB2312" w:eastAsia="仿宋_GB2312"/>
              </w:rPr>
              <w:t>5、宽度:700mm;宽度极限偏差+30 mm;-10 mm; 1500mm；宽度极限偏差+40 mm;-10 mm。</w:t>
            </w:r>
          </w:p>
          <w:p>
            <w:pPr>
              <w:pStyle w:val="null3"/>
            </w:pPr>
            <w:r>
              <w:rPr>
                <w:rFonts w:ascii="仿宋_GB2312" w:hAnsi="仿宋_GB2312" w:cs="仿宋_GB2312" w:eastAsia="仿宋_GB2312"/>
              </w:rPr>
              <w:t>6、外观:地膜不应有影响使用的气泡、杂质、条纹、穿孔、褶皱等缺陷。膜卷应卷绕整齐，不应有明显的暴筋，每卷段数≤2段，每段长度≥100m。</w:t>
            </w:r>
          </w:p>
          <w:p>
            <w:pPr>
              <w:pStyle w:val="null3"/>
            </w:pPr>
            <w:r>
              <w:rPr>
                <w:rFonts w:ascii="仿宋_GB2312" w:hAnsi="仿宋_GB2312" w:cs="仿宋_GB2312" w:eastAsia="仿宋_GB2312"/>
              </w:rPr>
              <w:t>7、物理机械性能:拉伸负荷:纵向≥2.2N，横向≥2.2N;断裂标称应变:纵向≥300%，横向≥300%;直角撕裂负荷:纵向≥1.2N，横向≥1.2N。</w:t>
            </w:r>
          </w:p>
          <w:p>
            <w:pPr>
              <w:pStyle w:val="null3"/>
            </w:pPr>
            <w:r>
              <w:rPr>
                <w:rFonts w:ascii="仿宋_GB2312" w:hAnsi="仿宋_GB2312" w:cs="仿宋_GB2312" w:eastAsia="仿宋_GB2312"/>
              </w:rPr>
              <w:t>8、有效覆膜时间≥180天。</w:t>
            </w:r>
          </w:p>
          <w:p>
            <w:pPr>
              <w:pStyle w:val="null3"/>
            </w:pPr>
            <w:r>
              <w:rPr>
                <w:rFonts w:ascii="仿宋_GB2312" w:hAnsi="仿宋_GB2312" w:cs="仿宋_GB2312" w:eastAsia="仿宋_GB2312"/>
              </w:rPr>
              <w:t>9、耐候性能；Ⅰ类地膜老化后纵向断裂标称应变保留率应不小于50%。</w:t>
            </w:r>
          </w:p>
          <w:p>
            <w:pPr>
              <w:pStyle w:val="null3"/>
            </w:pPr>
            <w:r>
              <w:rPr>
                <w:rFonts w:ascii="仿宋_GB2312" w:hAnsi="仿宋_GB2312" w:cs="仿宋_GB2312" w:eastAsia="仿宋_GB2312"/>
              </w:rPr>
              <w:t>10、包装及规格:小包装或按需包装(每卷净质量偏差+0.25;-0.1kg)，每卷膜的内包装应附产品合格证，内容包括产品名称、类别、宽度、厚度、长度、净质量、生产日期、生产厂名、生产厂地址、每卷膜的外包装应在明显的位置标有“使用后请回收利用，减少环境污染及“政府采购地膜”字样。提供相关证明材料(包含但不限于半年内有效的第三方检验报告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加厚高强度反光膜（核心产品）</w:t>
            </w:r>
          </w:p>
          <w:p>
            <w:pPr>
              <w:pStyle w:val="null3"/>
            </w:pPr>
            <w:r>
              <w:rPr>
                <w:rFonts w:ascii="仿宋_GB2312" w:hAnsi="仿宋_GB2312" w:cs="仿宋_GB2312" w:eastAsia="仿宋_GB2312"/>
              </w:rPr>
              <w:t>1、执行标准：符合BB/T0030-2019标准。</w:t>
            </w:r>
          </w:p>
          <w:p>
            <w:pPr>
              <w:pStyle w:val="null3"/>
            </w:pPr>
            <w:r>
              <w:rPr>
                <w:rFonts w:ascii="仿宋_GB2312" w:hAnsi="仿宋_GB2312" w:cs="仿宋_GB2312" w:eastAsia="仿宋_GB2312"/>
              </w:rPr>
              <w:t>2、数量：预估63吨。</w:t>
            </w:r>
          </w:p>
          <w:p>
            <w:pPr>
              <w:pStyle w:val="null3"/>
            </w:pPr>
            <w:r>
              <w:rPr>
                <w:rFonts w:ascii="仿宋_GB2312" w:hAnsi="仿宋_GB2312" w:cs="仿宋_GB2312" w:eastAsia="仿宋_GB2312"/>
              </w:rPr>
              <w:t>3、颜色：银色。</w:t>
            </w:r>
          </w:p>
          <w:p>
            <w:pPr>
              <w:pStyle w:val="null3"/>
            </w:pPr>
            <w:r>
              <w:rPr>
                <w:rFonts w:ascii="仿宋_GB2312" w:hAnsi="仿宋_GB2312" w:cs="仿宋_GB2312" w:eastAsia="仿宋_GB2312"/>
              </w:rPr>
              <w:t>4、厚度：0.015㎜，厚度偏差±10%。</w:t>
            </w:r>
          </w:p>
          <w:p>
            <w:pPr>
              <w:pStyle w:val="null3"/>
            </w:pPr>
            <w:r>
              <w:rPr>
                <w:rFonts w:ascii="仿宋_GB2312" w:hAnsi="仿宋_GB2312" w:cs="仿宋_GB2312" w:eastAsia="仿宋_GB2312"/>
              </w:rPr>
              <w:t>5、宽度：1200 ㎜；宽度偏差±2㎜。</w:t>
            </w:r>
          </w:p>
          <w:p>
            <w:pPr>
              <w:pStyle w:val="null3"/>
            </w:pPr>
            <w:r>
              <w:rPr>
                <w:rFonts w:ascii="仿宋_GB2312" w:hAnsi="仿宋_GB2312" w:cs="仿宋_GB2312" w:eastAsia="仿宋_GB2312"/>
              </w:rPr>
              <w:t>6、外观：地膜不应有毛边、缺口、翘边、划痕、皱折、严重暴筋、杂质污染、镀铝层脱落等缺陷。膜卷管芯应表面光滑平整，不应有弯曲、凹陷、崩口等缺陷。</w:t>
            </w:r>
          </w:p>
          <w:p>
            <w:pPr>
              <w:pStyle w:val="null3"/>
            </w:pPr>
            <w:r>
              <w:rPr>
                <w:rFonts w:ascii="仿宋_GB2312" w:hAnsi="仿宋_GB2312" w:cs="仿宋_GB2312" w:eastAsia="仿宋_GB2312"/>
              </w:rPr>
              <w:t>7、物理机械性能：断裂标称应变：纵向≤200%，横向≤200%；热收缩率：纵向≤3.0%，横 向≤2.0%；镀铝面润湿张力≥38mN/m。</w:t>
            </w:r>
          </w:p>
          <w:p>
            <w:pPr>
              <w:pStyle w:val="null3"/>
            </w:pPr>
            <w:r>
              <w:rPr>
                <w:rFonts w:ascii="仿宋_GB2312" w:hAnsi="仿宋_GB2312" w:cs="仿宋_GB2312" w:eastAsia="仿宋_GB2312"/>
              </w:rPr>
              <w:t>8、包装及规格：小包装或按需包装，每卷膜的内包装应附产品合格证，内容包括产品名称、类别、宽度、厚度、长度、净质量、生产日期、生产厂名、生产厂地址、执行标准、检验员章。每卷膜的外包装应在明显的位置标有“使用后请 回收利用，减少环境污染 ”及“政府采购地膜 ”字样。提供相关证明材料（包含但不限于半年内有效的第三方检验报告等）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全生物降解地膜</w:t>
            </w:r>
          </w:p>
          <w:p>
            <w:pPr>
              <w:pStyle w:val="null3"/>
            </w:pPr>
            <w:r>
              <w:rPr>
                <w:rFonts w:ascii="仿宋_GB2312" w:hAnsi="仿宋_GB2312" w:cs="仿宋_GB2312" w:eastAsia="仿宋_GB2312"/>
              </w:rPr>
              <w:t>1、执行标准:符合GBT35795-2017标准。</w:t>
            </w:r>
          </w:p>
          <w:p>
            <w:pPr>
              <w:pStyle w:val="null3"/>
            </w:pPr>
            <w:r>
              <w:rPr>
                <w:rFonts w:ascii="仿宋_GB2312" w:hAnsi="仿宋_GB2312" w:cs="仿宋_GB2312" w:eastAsia="仿宋_GB2312"/>
              </w:rPr>
              <w:t>2、数量：预估18.2吨。</w:t>
            </w:r>
          </w:p>
          <w:p>
            <w:pPr>
              <w:pStyle w:val="null3"/>
            </w:pPr>
            <w:r>
              <w:rPr>
                <w:rFonts w:ascii="仿宋_GB2312" w:hAnsi="仿宋_GB2312" w:cs="仿宋_GB2312" w:eastAsia="仿宋_GB2312"/>
              </w:rPr>
              <w:t>3、颜色:白色。</w:t>
            </w:r>
          </w:p>
          <w:p>
            <w:pPr>
              <w:pStyle w:val="null3"/>
            </w:pPr>
            <w:r>
              <w:rPr>
                <w:rFonts w:ascii="仿宋_GB2312" w:hAnsi="仿宋_GB2312" w:cs="仿宋_GB2312" w:eastAsia="仿宋_GB2312"/>
              </w:rPr>
              <w:t>4、厚度:0.01mm，厚度偏差±0.003 mm。</w:t>
            </w:r>
          </w:p>
          <w:p>
            <w:pPr>
              <w:pStyle w:val="null3"/>
            </w:pPr>
            <w:r>
              <w:rPr>
                <w:rFonts w:ascii="仿宋_GB2312" w:hAnsi="仿宋_GB2312" w:cs="仿宋_GB2312" w:eastAsia="仿宋_GB2312"/>
              </w:rPr>
              <w:t>5、宽度:700mm;宽度极限偏差+25mm;-10mm。</w:t>
            </w:r>
          </w:p>
          <w:p>
            <w:pPr>
              <w:pStyle w:val="null3"/>
            </w:pPr>
            <w:r>
              <w:rPr>
                <w:rFonts w:ascii="仿宋_GB2312" w:hAnsi="仿宋_GB2312" w:cs="仿宋_GB2312" w:eastAsia="仿宋_GB2312"/>
              </w:rPr>
              <w:t>6、外观:地膜不允许有影响使用的气泡、斑点、褶皱、杂质和针孔等缺陷。膜卷应卷取平整，不允许有明显的暴筋，每卷段数≤2段，每段长度≥100m。</w:t>
            </w:r>
          </w:p>
          <w:p>
            <w:pPr>
              <w:pStyle w:val="null3"/>
            </w:pPr>
            <w:r>
              <w:rPr>
                <w:rFonts w:ascii="仿宋_GB2312" w:hAnsi="仿宋_GB2312" w:cs="仿宋_GB2312" w:eastAsia="仿宋_GB2312"/>
              </w:rPr>
              <w:t>7、不得含有聚乙烯、聚丙烯等烯烃类原料。</w:t>
            </w:r>
          </w:p>
          <w:p>
            <w:pPr>
              <w:pStyle w:val="null3"/>
            </w:pPr>
            <w:r>
              <w:rPr>
                <w:rFonts w:ascii="仿宋_GB2312" w:hAnsi="仿宋_GB2312" w:cs="仿宋_GB2312" w:eastAsia="仿宋_GB2312"/>
              </w:rPr>
              <w:t>8、物理机械性能:拉伸负荷:纵向≥2N，横向≥2N;断裂标称应变:纵向≥150%，横向≥250%; 直角撕裂负荷:纵向≥0.8N，横向≥0.8N。</w:t>
            </w:r>
          </w:p>
          <w:p>
            <w:pPr>
              <w:pStyle w:val="null3"/>
            </w:pPr>
            <w:r>
              <w:rPr>
                <w:rFonts w:ascii="仿宋_GB2312" w:hAnsi="仿宋_GB2312" w:cs="仿宋_GB2312" w:eastAsia="仿宋_GB2312"/>
              </w:rPr>
              <w:t>9、产品水蒸气透过率在400g/（m2·24h）以下，有效使用寿命＞90天。</w:t>
            </w:r>
          </w:p>
          <w:p>
            <w:pPr>
              <w:pStyle w:val="null3"/>
            </w:pPr>
            <w:r>
              <w:rPr>
                <w:rFonts w:ascii="仿宋_GB2312" w:hAnsi="仿宋_GB2312" w:cs="仿宋_GB2312" w:eastAsia="仿宋_GB2312"/>
              </w:rPr>
              <w:t>10、生物降解性能：（1）有机成分应≥51%；（2）相对生物分解率≥90%。 11、人工气候老化性能：老化100h后断裂标称应变：纵向≥100%，横向≥150%。 12、包装及规格:小包装或按需包装(每卷净质量偏差+0.2;-0.15kg)，每卷膜的内包装应附产品合格证，内容包括产品名称、类别、宽度、厚度、长度、净质量、生产日期、生产厂名、生产厂地址、每卷膜的外包装应在明显的位置标有“政府采购地膜 ”字样。提供相关证明材料 (包含但不限于半年内有效的第三方检验报告等)。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备注：</w:t>
            </w:r>
          </w:p>
          <w:p>
            <w:pPr>
              <w:pStyle w:val="null3"/>
            </w:pPr>
            <w:r>
              <w:rPr>
                <w:rFonts w:ascii="仿宋_GB2312" w:hAnsi="仿宋_GB2312" w:cs="仿宋_GB2312" w:eastAsia="仿宋_GB2312"/>
              </w:rPr>
              <w:t>1、采用单价报价形式：加厚高强度地膜最高限价12984元/吨；加厚高强度反光膜最高限价17405元/吨；全生物降解地膜最高限价30000元/吨。</w:t>
            </w:r>
          </w:p>
          <w:p>
            <w:pPr>
              <w:pStyle w:val="null3"/>
            </w:pPr>
            <w:r>
              <w:rPr>
                <w:rFonts w:ascii="仿宋_GB2312" w:hAnsi="仿宋_GB2312" w:cs="仿宋_GB2312" w:eastAsia="仿宋_GB2312"/>
              </w:rPr>
              <w:t>2、供应商需配套提供技术指导和宣传培训服务，不少于三次（宣传培训对象需覆盖项目区域所有镇办，可通过分片集中培训、印制发放宣传资料等方式进行）。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自本合同生效之日起3个月内。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甲方指定地点，并会同有关村分发至指定农户，收集发放全过程资料。</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验收完成合格后（根据单价及实际数量在预算内据实结算）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1.质量标准：需满足国家及行业验收合格标准；2.验收标准：按招标文件、投标文件、项目交付情况等综合指标进行验收。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1、因履行本合同引起的或与本合同有关的争议，甲、乙双方应首先通过友好协商解决，如果协商不能解决争议，则采取以下两种方式解决争议:(1)向甲方所在地有管辖权的人民法院提起诉讼; (2)向铜川仲裁委员会按其仲裁规则依法仲裁。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供应商提供有效存续的企业营业执照（含最新年度报告）</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法人授权书，法人资格证明</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授权代表身份证、授权代表有效的劳动合同或在本单位近6个月内任意一个月缴纳的养老保险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提供2025年1月1日至投标文件递交截止之日任意一个月的社会保障资金缴存单据或社保机构开具的社会保险参保缴费情况证明。依法不需要缴纳社会保障资金的供应商应提供相关证明文件；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供应商提供《非联合体投标不分包声明》</w:t>
            </w:r>
          </w:p>
        </w:tc>
        <w:tc>
          <w:tcPr>
            <w:tcW w:type="dxa" w:w="3322"/>
          </w:tcPr>
          <w:p>
            <w:pPr>
              <w:pStyle w:val="null3"/>
            </w:pPr>
            <w:r>
              <w:rPr>
                <w:rFonts w:ascii="仿宋_GB2312" w:hAnsi="仿宋_GB2312" w:cs="仿宋_GB2312" w:eastAsia="仿宋_GB2312"/>
              </w:rPr>
              <w:t>以声明函加盖公章为准</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投标人名称和营业执照一致</w:t>
            </w:r>
          </w:p>
        </w:tc>
        <w:tc>
          <w:tcPr>
            <w:tcW w:type="dxa" w:w="1661"/>
          </w:tcPr>
          <w:p>
            <w:pPr>
              <w:pStyle w:val="null3"/>
            </w:pPr>
            <w:r>
              <w:rPr>
                <w:rFonts w:ascii="仿宋_GB2312" w:hAnsi="仿宋_GB2312" w:cs="仿宋_GB2312" w:eastAsia="仿宋_GB2312"/>
              </w:rPr>
              <w:t>开标一览表 分项报价表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按招标文件要求签字、盖章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投标价格≤最高限价</w:t>
            </w:r>
          </w:p>
        </w:tc>
        <w:tc>
          <w:tcPr>
            <w:tcW w:type="dxa" w:w="1661"/>
          </w:tcPr>
          <w:p>
            <w:pPr>
              <w:pStyle w:val="null3"/>
            </w:pPr>
            <w:r>
              <w:rPr>
                <w:rFonts w:ascii="仿宋_GB2312" w:hAnsi="仿宋_GB2312" w:cs="仿宋_GB2312" w:eastAsia="仿宋_GB2312"/>
              </w:rPr>
              <w:t>开标一览表 分项报价表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15分；评审内容每缺一项扣5分，扣完为止；评审内容有一项内容缺陷（缺陷是指：内容描述过于简单、条理不清晰、与项目内容不匹配、凭空编造、出现常识性错误、不可能实现的夸大情形、存在不适用项目实际情况的情形等）扣1.5-4.5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产品标准及合法来源渠道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能提供所投产品的合法来源渠道证明文件（包括但不限于产品制造商授权/销售协议/代理协议/原厂授权等）的计10分，若提供每项证明文件不齐全、不符合或有遗漏扣3分，未提供不得分。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的①质量保证措施②物流保障措施③运输方案④项目验收方案⑤项目团队配备方案；评审标准：方案各部分内容全面详细、阐述条理清晰详尽、符合本项目采购需求得10分；评审内容每缺一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的①突发事件的处理方案②响应的时效性保证措施；评审标准：方案各部分内容全面详细、阐述条理清晰详尽、符合本项目采购需求得10分；评审内容每缺一项扣5分，扣完为止；评审内容有一项内容缺陷（缺陷是指：内容描述过于简单、条理不清晰、与项目内容不匹配、凭空编造、出现常识性错误、不可能实现的夸大情形、存在不适用项目实际情况的情形等）扣1.5-4.5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包含：①培训计划②培训人员安排；评审标准：方案各部分内容全面详细、阐述条理清晰详尽、可行性高、符合本项目采购需求得10分；评审内容每缺一项扣5分，扣完为止；评审内容有一项内容缺陷（缺陷是指：内容描述过于简单、条理不清晰、与项目内容不匹配、凭空编造、出现常识性错误、不可能实现的夸大情形、存在不适用项目实际情况的情形等）扣1.5-4.5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售后服务承诺；评审标准：方案各部分内容全面详细、阐述条理清晰详尽、符合本项目采购需求得10分；评审内容每缺一 项扣2分，扣完为止；评审内容有一项内容缺陷（缺陷是指：内容描述过于简单、条理不清晰、与项目内容不匹配、凭空编造、出现常识性错误、不可能实现的夸大情形、存在不适用项目实际情况的情形等）扣0.5-1.5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每提供1个2023年1月1日至今已完成类似项目业绩（提供中标/成交通知书或合同协议书）得2.5分，满分5分。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1、综合评分法中的价格分统一采用低价优先法计算，即满足招标文件要求且投标价格最低的投标报价为基准价，其价格分为满分30分。 2、其他投标单位的投标报价得分计算公式如下： 投标报价得分=（评标基准价／投标报价）×30；小数点后保留二位， 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