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版本号：YCD-2025018F20251205001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14个村农村生活垃圾分类收集处理项目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YCD-2025018F</w:t>
      </w:r>
      <w:r>
        <w:br/>
      </w:r>
      <w:r>
        <w:br/>
      </w:r>
      <w:r>
        <w:br/>
      </w:r>
    </w:p>
    <w:p>
      <w:pPr>
        <w:pStyle w:val="null3"/>
        <w:jc w:val="center"/>
        <w:outlineLvl w:val="2"/>
      </w:pPr>
      <w:r>
        <w:rPr>
          <w:rFonts w:ascii="仿宋_GB2312" w:hAnsi="仿宋_GB2312" w:cs="仿宋_GB2312" w:eastAsia="仿宋_GB2312"/>
          <w:sz w:val="28"/>
          <w:b/>
        </w:rPr>
        <w:t>铜川市耀州区农业农村局</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铜川市耀州区农业农村局</w:t>
      </w:r>
      <w:r>
        <w:rPr>
          <w:rFonts w:ascii="仿宋_GB2312" w:hAnsi="仿宋_GB2312" w:cs="仿宋_GB2312" w:eastAsia="仿宋_GB2312"/>
        </w:rPr>
        <w:t>委托，拟对</w:t>
      </w:r>
      <w:r>
        <w:rPr>
          <w:rFonts w:ascii="仿宋_GB2312" w:hAnsi="仿宋_GB2312" w:cs="仿宋_GB2312" w:eastAsia="仿宋_GB2312"/>
        </w:rPr>
        <w:t>14个村农村生活垃圾分类收集处理项目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YCD-2025018F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14个村农村生活垃圾分类收集处理项目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购买4个乡镇14个村（石柱镇：龙首村、王益村、西古庄村、修文村、光明村、沟西村、神湫村；小丘镇：孟虎村、文岭村；瑶曲镇：刘村村、金元村、车洼村；庙湾镇：春林村、五联村）农村生活垃圾清运服务，按各村需求科学配置垃圾分类收集亭和垃圾桶，做到垃圾日产日清，并将垃圾转运至垃圾焚烧发电厂进行无害化处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采购包1（14个村农村生活垃圾分类收集处理项目）：属于专门面向中小企业采购。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2、税收缴纳证明：提交响应文件截止时间三个月内任意一个月的纳税证明或完税证明，纳税证明或完税证明上应有代收机构或税务机关的公章或业务专用章(依法免税的供应商应提供相应文件证)；</w:t>
      </w:r>
    </w:p>
    <w:p>
      <w:pPr>
        <w:pStyle w:val="null3"/>
      </w:pPr>
      <w:r>
        <w:rPr>
          <w:rFonts w:ascii="仿宋_GB2312" w:hAnsi="仿宋_GB2312" w:cs="仿宋_GB2312" w:eastAsia="仿宋_GB2312"/>
        </w:rPr>
        <w:t>3、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4、身份证明：法定代表人(主要负责人)委托代理人参加投标时，应提供法定代表人(主要负责人)委托授权书;法定代表人(主要负责人)亲自参加投标时，应提供法定代表人(主要负责人)身份证明；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5、设备和专业技术能力：提供履行合同所必需的设备和专业技术能力的证明材料；</w:t>
      </w:r>
    </w:p>
    <w:p>
      <w:pPr>
        <w:pStyle w:val="null3"/>
      </w:pPr>
      <w:r>
        <w:rPr>
          <w:rFonts w:ascii="仿宋_GB2312" w:hAnsi="仿宋_GB2312" w:cs="仿宋_GB2312" w:eastAsia="仿宋_GB2312"/>
        </w:rPr>
        <w:t>6、控股关系证明：单位负责人为同一人或者存在直接控股、管理关系的不同供应商，不得参加同一合同项下的政府采购活动;(提供承诺书)；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7、信用要求：供应商在“信用中国"网站(www.creditchina.gov.cn)、中国政府采购网(www.ccgp.gov.cn)不存在被列入失信被执行人、重大税收违法案件当事人名单、政府采购严重违法失信行为等不良记录;(开标现场查询)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王雨辰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18700691688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陕西省西安市雁塔区雁翔路111号中京坊6幢2单元34层23401号房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王红妮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0919-6289281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采购包1：1,296,100.00元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文件中的有关规定计取。中标（成交）人承担组织项目采购活动的全部费用，乙方收取的采购代理服务费按双方约定的金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铜川市耀州区农业农村局</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以各镇考评分数为准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联系人：王红妮</w:t>
      </w:r>
    </w:p>
    <w:p>
      <w:pPr>
        <w:pStyle w:val="null3"/>
      </w:pPr>
      <w:r>
        <w:rPr>
          <w:rFonts w:ascii="仿宋_GB2312" w:hAnsi="仿宋_GB2312" w:cs="仿宋_GB2312" w:eastAsia="仿宋_GB2312"/>
        </w:rPr>
        <w:t>联系电话：0919-6289281</w:t>
      </w:r>
    </w:p>
    <w:p>
      <w:pPr>
        <w:pStyle w:val="null3"/>
      </w:pPr>
      <w:r>
        <w:rPr>
          <w:rFonts w:ascii="仿宋_GB2312" w:hAnsi="仿宋_GB2312" w:cs="仿宋_GB2312" w:eastAsia="仿宋_GB2312"/>
        </w:rPr>
        <w:t>地址：陕西省西安市雁塔区雁翔路111号中京坊6幢2单元34层23401号房</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4个乡镇14个村（石柱镇：龙首村、王益村、西古庄村、修文村、光明村、沟西村、神湫村；小丘镇：孟虎村、文岭村；瑶曲镇：刘村村、金元村、车洼村；庙湾镇：春林村、五联村）农村生活垃圾清运服务，按各村需求科学配置垃圾分类收集亭和垃圾桶，做到垃圾日产日清，并将垃圾转运至垃圾焚烧发电厂进行无害化处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1,296,100.00</w:t>
      </w:r>
    </w:p>
    <w:p>
      <w:pPr>
        <w:pStyle w:val="null3"/>
      </w:pPr>
      <w:r>
        <w:rPr>
          <w:rFonts w:ascii="仿宋_GB2312" w:hAnsi="仿宋_GB2312" w:cs="仿宋_GB2312" w:eastAsia="仿宋_GB2312"/>
        </w:rPr>
        <w:t>采购包最高限价（元）: 1,296,100.00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14个村生活垃圾清运服务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1,296,100.00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标的名称：14个村生活垃圾清运服务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1、配置2辆中型垃圾压缩车每天对14个村农村生活垃圾进行清运，并转运至垃圾焚烧发电厂进行无害化处理；</w:t>
            </w:r>
          </w:p>
          <w:p>
            <w:pPr>
              <w:pStyle w:val="null3"/>
            </w:pPr>
            <w:r>
              <w:rPr>
                <w:rFonts w:ascii="仿宋_GB2312" w:hAnsi="仿宋_GB2312" w:cs="仿宋_GB2312" w:eastAsia="仿宋_GB2312"/>
              </w:rPr>
              <w:t>2、按照14个村各村需求配置垃圾分类收集亭90个，配套垃圾桶540个。每个自然组应配置生活垃圾分类收集亭一座（长4米、宽1.5米、高2.5米）结构框架为8×8方管焊接；整体为开放式，便于村民投放垃圾；收集亭内正后方要做垃圾分类宣传广告，材质为PVC板，加广告内容；内置生活垃圾分类收集桶（容量≥240L），其中其它垃圾桶3个、可回收垃圾桶、有害垃圾桶、厨余垃圾桶各1个。</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供应商根据服务要求自主填写，要有能保证项目正常履行所需的从业人员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供应商根据服务要求自主填写，要有能保证项目正常履行所需的设备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1、本项目涉及安装地点及周边地面平整、混凝土硬化处理等配套施工内容；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一次招标延用两年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以服务对象考评结果为准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按年一次性付清，当年服务结束后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 以下两种方式解决争议： （1）向甲方所在地有管辖权的人民法院提起诉讼； （2）向铜川仲裁委员会按其仲裁规则依法仲裁。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1、供应商投标报价应包含该项目实施期间可能产生的所有费用； 2、本项目招标一次延用两年，项目费用按照成交金额/年计算。3、本项目需提交纸质投标文件，投标文件数量要求：正本壹份、副本贰份、电子版（U盘）壹份，正本需加盖供应商公章（鲜章），副本可以是正本的复印件，于投标截止时间前，密封盖章后，递交到铜川市耀州区步寿路槐林村村委会4楼，收件人：远创项目管理有限公司，联系电话：18091933523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提交响应文件截止时间三个月内任意一个月的纳税证明或完税证明，纳税证明或完税证明上应有代收机构或税务机关的公章或业务专用章(依法免税的供应商应提供相应文件证)；</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提供履行合同所必需的设备和专业技术能力的证明材料；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供应商在“信用中国"网站(www.creditchina.gov.cn)、中国政府采购网(www.ccgp.gov.cn)不存在被列入失信被执行人、重大税收违法案件当事人名单、政府采购严重违法失信行为等不良记录;(开标现场查询)</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无重大缺漏项、偏离；格式、填写要求符合磋商文件规定并加盖供应商电子签章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供应商类似项目业绩一览表.docx 中小企业声明函 商务应答表 服务方案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满足磋商文件规定，格式、填写要求符合磋商文件规定并加盖供应商电子签章</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磋商响应文件不得含有采购人不能接受的附加条件并需满足本磋商文件中实质性要求</w:t>
            </w:r>
          </w:p>
        </w:tc>
        <w:tc>
          <w:tcPr>
            <w:tcW w:type="dxa" w:w="3322"/>
          </w:tcPr>
          <w:p>
            <w:pPr>
              <w:pStyle w:val="null3"/>
            </w:pPr>
            <w:r>
              <w:rPr>
                <w:rFonts w:ascii="仿宋_GB2312" w:hAnsi="仿宋_GB2312" w:cs="仿宋_GB2312" w:eastAsia="仿宋_GB2312"/>
              </w:rPr>
              <w:t>磋商响应文件不得含有采购人不能接受的附加条件并需满足本磋商文件中实质性要求</w:t>
            </w:r>
          </w:p>
        </w:tc>
        <w:tc>
          <w:tcPr>
            <w:tcW w:type="dxa" w:w="1661"/>
          </w:tcPr>
          <w:p>
            <w:pPr>
              <w:pStyle w:val="null3"/>
            </w:pPr>
            <w:r>
              <w:rPr>
                <w:rFonts w:ascii="仿宋_GB2312" w:hAnsi="仿宋_GB2312" w:cs="仿宋_GB2312" w:eastAsia="仿宋_GB2312"/>
              </w:rPr>
              <w:t>供应商应提交的相关资格证明材料.docx 供应商类似项目业绩一览表.docx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①现状分析；②重难点解决方案。 二、评审标准： ①完整性：内容详细完整，考虑周全；②科学性：内容贴合项目现状，逻辑严谨、依据充分。 三、赋分标准（满分10分）： ①针对现状分析：每完全满足一项评审标准得2.5分，满分5分；每存在一处内容不完整或不详细或内容前后表述不一致扣0.1分，每存在一处内容缺项或缺少关键点扣0.2分。 ②针对重难点解决方案：每完全满足一项评审标准得2.5分，满分5分；每存在一处内容不完整或不详细或内容前后表述不一致扣0.1分，每存在一处内容缺项或缺少关键点扣0.2分。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①施工方案；②运维方案；③突发事件的响应及处理方案。 二、评审标准： ①完整性：方案详细完整，严谨科学，包含关键步骤的思路与实施要点；②可行性：方案内容贴合项目实际，具备良好的可操作性和落地性。 三、赋分标准（满分15分）： ①针对施工方案：每完全满足一项评审标准得2.5分，满分5分；每存在一处内容不完整或不详细或内容前后表述不一致扣0.1分，每存在一处内容缺项或缺少关键点扣0.2分。 ②针对运维方案：每完全满足一项评审标准得2.5分，满分5分；每存在一处内容不完整或不详细或内容前后表述不一致扣0.1分，每存在一处内容缺项或缺少关键点扣0.2分。 ③针对突发事件的响应及处理方案：每完全满足一项评审标准得2.5分，满分5分；每存在一处内容不完整或不详细或内容前后表述不一致扣0.1分，每存在一处内容缺项或缺少关键点扣0.2分。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①人员配置；②从业经验。 二、评审标准： ①合理性：紧密贴合项目实际需求，与项目目标、任务要求及各实施阶段的专业能力需求相匹配；②实操性：配备具备相应能力的核心人员现场指挥，能有效推动具体工作落地执行。 三、赋分标准（满分10分）： ①针对人员配置：每完全满足一项评审标准得2.5分，满分5分；每存在一处内容不完整或不详细或内容前后表述不一致扣0.1分，每存在一处内容缺项或缺少关键点扣0.2分。 ②针对从业经验：每完全满足一项评审标准得2.5分，满分5分；每存在一处内容不完整或不详细或内容前后表述不一致扣0.1分，每存在一处内容缺项或缺少关键点扣0.2分。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①组织机构设置及运作流程；②激励机制及监督机制； 二、评审标准： ①合理性：符合项目服务要求，职责清晰、流程顺畅；②可操作性：贴合项目实际，能有效保障服务质量与执行效率。 三、赋分标准（满分10分）： ①针对组织机构设置及运作流程：每完全满足一项评审标准得2.5分，满分5分；每存在一处内容不完整或不详细或内容前后表述不一致扣0.1分，每存在一处内容缺项或缺少关键点扣0.2分。 ②针对激励机制及监督机制：每完全满足一项评审标准得2.5分，满分5分；每存在一处内容不完整或不详细或内容前后表述不一致扣0.1分，每存在一处内容缺项或缺少关键点扣0.2分。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项目管理制度</w:t>
            </w:r>
          </w:p>
        </w:tc>
        <w:tc>
          <w:tcPr>
            <w:tcW w:type="dxa" w:w="2492"/>
          </w:tcPr>
          <w:p>
            <w:pPr>
              <w:pStyle w:val="null3"/>
            </w:pPr>
            <w:r>
              <w:rPr>
                <w:rFonts w:ascii="仿宋_GB2312" w:hAnsi="仿宋_GB2312" w:cs="仿宋_GB2312" w:eastAsia="仿宋_GB2312"/>
              </w:rPr>
              <w:t>一、评审内容： ①岗位责任制度；②安全管理制度；③文明服务制度。 二、评审标准： ①完整性：制度内容详细完整，条款严谨科学，覆盖全面；②可行性：制度贴合项目实际，具备良好的可执行性和约束力。 三、赋分标准（满分15分）： ①针对岗位责任制度：每完全满足一项评审标准得2.5分，满分5分；每存在一处内容不完整或不详细或内容前后表述不一致扣0.1分，每存在一处内容缺项或缺少关键点扣0.2分。 ②针对安全管理制度：每完全满足一项评审标准得2.5分，满分5分；每存在一处内容不完整或不详细或内容前后表述不一致扣0.1分，每存在一处内容缺项或缺少关键点扣0.2分。 ③针对文明服务制度：每完全满足一项评审标准得2.5分，满分5分；每存在一处内容不完整或不详细或内容前后表述不一致扣0.1分，每存在一处内容缺项或缺少关键点扣0.2分。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以合同的形式提供近三年（2022年12月1日起，以签订时间为准）同类项目业绩，每提供一项得2分，最高得10分。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