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版本号：XHZB2025-GK-083-00120251205001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管护能力提升项目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XHZB2025-GK-083-001</w:t>
      </w:r>
      <w:r>
        <w:br/>
      </w:r>
      <w:r>
        <w:br/>
      </w:r>
      <w:r>
        <w:br/>
      </w:r>
    </w:p>
    <w:p>
      <w:pPr>
        <w:pStyle w:val="null3"/>
        <w:jc w:val="center"/>
        <w:outlineLvl w:val="2"/>
      </w:pPr>
      <w:r>
        <w:rPr>
          <w:rFonts w:ascii="仿宋_GB2312" w:hAnsi="仿宋_GB2312" w:cs="仿宋_GB2312" w:eastAsia="仿宋_GB2312"/>
          <w:sz w:val="28"/>
          <w:b/>
        </w:rPr>
        <w:t>铜川市耀州区柳林国有生态林场</w:t>
      </w:r>
    </w:p>
    <w:p>
      <w:pPr>
        <w:pStyle w:val="null3"/>
        <w:jc w:val="center"/>
        <w:outlineLvl w:val="2"/>
      </w:pPr>
      <w:r>
        <w:rPr>
          <w:rFonts w:ascii="仿宋_GB2312" w:hAnsi="仿宋_GB2312" w:cs="仿宋_GB2312" w:eastAsia="仿宋_GB2312"/>
          <w:sz w:val="28"/>
          <w:b/>
        </w:rPr>
        <w:t>陕西星火工程管理有限公司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陕西星火工程管理有限公司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铜川市耀州区柳林国有生态林场</w:t>
      </w:r>
      <w:r>
        <w:rPr>
          <w:rFonts w:ascii="仿宋_GB2312" w:hAnsi="仿宋_GB2312" w:cs="仿宋_GB2312" w:eastAsia="仿宋_GB2312"/>
        </w:rPr>
        <w:t>委托，拟对</w:t>
      </w:r>
      <w:r>
        <w:rPr>
          <w:rFonts w:ascii="仿宋_GB2312" w:hAnsi="仿宋_GB2312" w:cs="仿宋_GB2312" w:eastAsia="仿宋_GB2312"/>
        </w:rPr>
        <w:t>管护能力提升项目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XHZB2025-GK-083-001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管护能力提升项目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通过引入专业设备，实现对林区全域的高效、精准监测，消除人工巡护盲区，提升火情早期预警准确率。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1、身份证明：法定代表人直接参加开标的须出具法定代表人身份证（须与营业执照上信息一致），法定代表人授权代表参加开标的须出具法定代表人授权书。</w:t>
      </w:r>
    </w:p>
    <w:p>
      <w:pPr>
        <w:pStyle w:val="null3"/>
      </w:pPr>
      <w:r>
        <w:rPr>
          <w:rFonts w:ascii="仿宋_GB2312" w:hAnsi="仿宋_GB2312" w:cs="仿宋_GB2312" w:eastAsia="仿宋_GB2312"/>
        </w:rPr>
        <w:t>2、信用查询：供应商未被“信用中国”网站（www.creditchina.gov.cn）列入失信被执行人和重大税收违法失信主体，未被中国政府采购网（www.ccgp.gov.cn）列入政府采购严重违法失信行为记录名单。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3、供应商不得存在下列情形之一：：供应商不得存在下列情形之一：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4、非联合体投标：本项目不允许联合体投标。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铜川市耀州区柳林国有生态林场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耀州区庙湾镇东石坡村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雷培恒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0919-6811013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陕西星火工程管理有限公司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西安市高新区高新路88号尚品国际C幢北12804室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刘秀玲、安孜、宋培嘉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029-88852300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铜川市耀州区柳林国有生态林场</w:t>
      </w:r>
      <w:r>
        <w:rPr>
          <w:rFonts w:ascii="仿宋_GB2312" w:hAnsi="仿宋_GB2312" w:cs="仿宋_GB2312" w:eastAsia="仿宋_GB2312"/>
        </w:rPr>
        <w:t>和</w:t>
      </w:r>
      <w:r>
        <w:rPr>
          <w:rFonts w:ascii="仿宋_GB2312" w:hAnsi="仿宋_GB2312" w:cs="仿宋_GB2312" w:eastAsia="仿宋_GB2312"/>
        </w:rPr>
        <w:t>陕西星火工程管理有限公司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铜川市耀州区柳林国有生态林场</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陕西星火工程管理有限公司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铜川市耀州区柳林国有生态林场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陕西星火工程管理有限公司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联系人：刘秀玲、安孜、宋培嘉</w:t>
      </w:r>
    </w:p>
    <w:p>
      <w:pPr>
        <w:pStyle w:val="null3"/>
      </w:pPr>
      <w:r>
        <w:rPr>
          <w:rFonts w:ascii="仿宋_GB2312" w:hAnsi="仿宋_GB2312" w:cs="仿宋_GB2312" w:eastAsia="仿宋_GB2312"/>
        </w:rPr>
        <w:t>联系电话：029-88852300</w:t>
      </w:r>
    </w:p>
    <w:p>
      <w:pPr>
        <w:pStyle w:val="null3"/>
      </w:pPr>
      <w:r>
        <w:rPr>
          <w:rFonts w:ascii="仿宋_GB2312" w:hAnsi="仿宋_GB2312" w:cs="仿宋_GB2312" w:eastAsia="仿宋_GB2312"/>
        </w:rPr>
        <w:t>地址：西安市高新区高新路88号尚品国际C幢北12804室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通过引入专业设备，实现对林区全域的高效、精准监测，消除人工巡护盲区，提升火情早期预警准确率。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735,000.00</w:t>
      </w:r>
    </w:p>
    <w:p>
      <w:pPr>
        <w:pStyle w:val="null3"/>
      </w:pPr>
      <w:r>
        <w:rPr>
          <w:rFonts w:ascii="仿宋_GB2312" w:hAnsi="仿宋_GB2312" w:cs="仿宋_GB2312" w:eastAsia="仿宋_GB2312"/>
        </w:rPr>
        <w:t>采购包最高限价（元）: 735,000.00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无人机2台，巡护服75套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标的名称：无人机2台，巡护服75套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7"/>
              <w:gridCol w:w="411"/>
              <w:gridCol w:w="1751"/>
              <w:gridCol w:w="244"/>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p>
                  <w:pPr>
                    <w:pStyle w:val="null3"/>
                    <w:jc w:val="center"/>
                  </w:pPr>
                </w:p>
              </w:tc>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飞行器及配件</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无人机参数(核心产品)</w:t>
                  </w:r>
                </w:p>
                <w:p>
                  <w:pPr>
                    <w:pStyle w:val="null3"/>
                    <w:jc w:val="both"/>
                  </w:pPr>
                  <w:r>
                    <w:rPr>
                      <w:rFonts w:ascii="仿宋_GB2312" w:hAnsi="仿宋_GB2312" w:cs="仿宋_GB2312" w:eastAsia="仿宋_GB2312"/>
                      <w:sz w:val="21"/>
                      <w:b/>
                      <w:color w:val="000000"/>
                    </w:rPr>
                    <w:t>1.作业能力：飞行器平台须具备重型工业级作业能力，最大任务载重（喷洒、播撒、吊运模式）应不低于100kg，以确保在复杂林业环境下的作业效能。</w:t>
                  </w:r>
                </w:p>
                <w:p>
                  <w:pPr>
                    <w:pStyle w:val="null3"/>
                    <w:jc w:val="both"/>
                  </w:pPr>
                  <w:r>
                    <w:rPr>
                      <w:rFonts w:ascii="仿宋_GB2312" w:hAnsi="仿宋_GB2312" w:cs="仿宋_GB2312" w:eastAsia="仿宋_GB2312"/>
                      <w:sz w:val="21"/>
                      <w:b/>
                      <w:color w:val="000000"/>
                    </w:rPr>
                    <w:t>2.飞行性能：在GNSS信号良好环境下，悬停精度应优于±0.8m（水平）/±0.5m（垂直）；在启用高精度定位系统后，悬停精度应优于±0.2m（水平/垂直）。支持设置最大飞行半径，不小于2km。</w:t>
                  </w:r>
                </w:p>
                <w:p>
                  <w:pPr>
                    <w:pStyle w:val="null3"/>
                    <w:jc w:val="both"/>
                  </w:pPr>
                  <w:r>
                    <w:rPr>
                      <w:rFonts w:ascii="仿宋_GB2312" w:hAnsi="仿宋_GB2312" w:cs="仿宋_GB2312" w:eastAsia="仿宋_GB2312"/>
                      <w:sz w:val="21"/>
                      <w:b/>
                      <w:color w:val="000000"/>
                    </w:rPr>
                    <w:t>3.环境适应性：工作环境温度应满足-10℃至45℃，可承受风速不低于5m/s。</w:t>
                  </w:r>
                </w:p>
                <w:p>
                  <w:pPr>
                    <w:pStyle w:val="null3"/>
                    <w:jc w:val="both"/>
                  </w:pPr>
                  <w:r>
                    <w:rPr>
                      <w:rFonts w:ascii="仿宋_GB2312" w:hAnsi="仿宋_GB2312" w:cs="仿宋_GB2312" w:eastAsia="仿宋_GB2312"/>
                      <w:sz w:val="21"/>
                      <w:b/>
                      <w:color w:val="000000"/>
                    </w:rPr>
                    <w:t>4.智能感知与安全：飞行器须具备全方位、多层次的智能感知系统，以实现自主避障。有效测距范围：≥50米，有效安全避障速度：≥10m/s，安全距离：≥2米。</w:t>
                  </w:r>
                </w:p>
                <w:p>
                  <w:pPr>
                    <w:pStyle w:val="null3"/>
                    <w:jc w:val="both"/>
                  </w:pPr>
                  <w:r>
                    <w:rPr>
                      <w:rFonts w:ascii="仿宋_GB2312" w:hAnsi="仿宋_GB2312" w:cs="仿宋_GB2312" w:eastAsia="仿宋_GB2312"/>
                      <w:sz w:val="21"/>
                      <w:b/>
                      <w:color w:val="000000"/>
                    </w:rPr>
                    <w:t>5.地面支援系统：需提供高效、可靠的地面充电/供电解决方案，以满足高强度连续作业需求。方案应保证电池循环充电时间不超过30分钟，并适应野外作业环境。</w:t>
                  </w:r>
                </w:p>
                <w:p>
                  <w:pPr>
                    <w:pStyle w:val="null3"/>
                    <w:jc w:val="both"/>
                  </w:pPr>
                  <w:r>
                    <w:rPr>
                      <w:rFonts w:ascii="仿宋_GB2312" w:hAnsi="仿宋_GB2312" w:cs="仿宋_GB2312" w:eastAsia="仿宋_GB2312"/>
                      <w:sz w:val="21"/>
                      <w:b/>
                      <w:color w:val="000000"/>
                    </w:rPr>
                    <w:t>6.培训服务：投标人须为采购方提供共计4名人员的无人机操作资质培训服务，并确保通过考核。</w:t>
                  </w:r>
                </w:p>
                <w:p>
                  <w:pPr>
                    <w:pStyle w:val="null3"/>
                    <w:jc w:val="both"/>
                  </w:pPr>
                  <w:r>
                    <w:rPr>
                      <w:rFonts w:ascii="仿宋_GB2312" w:hAnsi="仿宋_GB2312" w:cs="仿宋_GB2312" w:eastAsia="仿宋_GB2312"/>
                      <w:sz w:val="21"/>
                      <w:b/>
                      <w:color w:val="000000"/>
                    </w:rPr>
                    <w:t>注：本产品为核心产品，不同供应商提供了任意一个相同品牌的核心产品，即视为提供相同品牌的供应商。提供相同品牌产品且通过资格审查、符合性审查的不同投标人参加同一合同项下投标的，按一家投标人计算，评审后得分最高的同品牌投标人获得中标人推荐资格；评审得分相同的， 由采购人或者采购人委托评标委员会采取随机抽取方式确定一个投标人获得中标人推荐资格，其他同品牌投标人不作为中标候选人。在符合性审查环节提供核心产品品牌不足3个的，视为有效投标人不足3家。</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47"/>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舱体参数</w:t>
                  </w:r>
                </w:p>
                <w:p>
                  <w:pPr>
                    <w:pStyle w:val="null3"/>
                    <w:jc w:val="both"/>
                  </w:pPr>
                  <w:r>
                    <w:rPr>
                      <w:rFonts w:ascii="仿宋_GB2312" w:hAnsi="仿宋_GB2312" w:cs="仿宋_GB2312" w:eastAsia="仿宋_GB2312"/>
                      <w:sz w:val="21"/>
                      <w:color w:val="000000"/>
                    </w:rPr>
                    <w:t>1.基本规格：尺寸不小于1.5mx1.2mx0.8m（</w:t>
                  </w:r>
                  <w:r>
                    <w:rPr>
                      <w:rFonts w:ascii="仿宋_GB2312" w:hAnsi="仿宋_GB2312" w:cs="仿宋_GB2312" w:eastAsia="仿宋_GB2312"/>
                      <w:sz w:val="21"/>
                      <w:color w:val="000000"/>
                    </w:rPr>
                    <w:t>长×宽×高</w:t>
                  </w:r>
                  <w:r>
                    <w:rPr>
                      <w:rFonts w:ascii="仿宋_GB2312" w:hAnsi="仿宋_GB2312" w:cs="仿宋_GB2312" w:eastAsia="仿宋_GB2312"/>
                      <w:sz w:val="21"/>
                      <w:color w:val="000000"/>
                    </w:rPr>
                    <w:t>），内部有效高度≥0.6m，底盘承重≥190kg。</w:t>
                  </w:r>
                </w:p>
                <w:p>
                  <w:pPr>
                    <w:pStyle w:val="null3"/>
                    <w:jc w:val="both"/>
                  </w:pPr>
                  <w:r>
                    <w:rPr>
                      <w:rFonts w:ascii="仿宋_GB2312" w:hAnsi="仿宋_GB2312" w:cs="仿宋_GB2312" w:eastAsia="仿宋_GB2312"/>
                      <w:sz w:val="21"/>
                      <w:color w:val="000000"/>
                    </w:rPr>
                    <w:t>2.舱门设计：舱门开启方式应安全、便捷，支持远程控制或自动化操作，并保证良好的密封性以应对野外环境。</w:t>
                  </w:r>
                </w:p>
                <w:p>
                  <w:pPr>
                    <w:pStyle w:val="null3"/>
                    <w:jc w:val="both"/>
                  </w:pPr>
                  <w:r>
                    <w:rPr>
                      <w:rFonts w:ascii="仿宋_GB2312" w:hAnsi="仿宋_GB2312" w:cs="仿宋_GB2312" w:eastAsia="仿宋_GB2312"/>
                      <w:sz w:val="21"/>
                      <w:color w:val="000000"/>
                    </w:rPr>
                    <w:t>3.车载系统：具备车载电力系统，可为舱内设备及无人机电池提供充电支持。备用电源容量应不低于10kWh。</w:t>
                  </w:r>
                </w:p>
                <w:p>
                  <w:pPr>
                    <w:pStyle w:val="null3"/>
                    <w:jc w:val="both"/>
                  </w:pPr>
                  <w:r>
                    <w:rPr>
                      <w:rFonts w:ascii="仿宋_GB2312" w:hAnsi="仿宋_GB2312" w:cs="仿宋_GB2312" w:eastAsia="仿宋_GB2312"/>
                      <w:sz w:val="21"/>
                      <w:color w:val="000000"/>
                    </w:rPr>
                    <w:t>4.环境保障：具备温控系统（散热与加热），防护等级不低于IP54。</w:t>
                  </w:r>
                </w:p>
                <w:p>
                  <w:pPr>
                    <w:pStyle w:val="null3"/>
                    <w:jc w:val="both"/>
                  </w:pPr>
                  <w:r>
                    <w:rPr>
                      <w:rFonts w:ascii="仿宋_GB2312" w:hAnsi="仿宋_GB2312" w:cs="仿宋_GB2312" w:eastAsia="仿宋_GB2312"/>
                      <w:sz w:val="21"/>
                      <w:color w:val="000000"/>
                    </w:rPr>
                    <w:t>5.智能化功能：须具备状态监控功能（如电池电量、舱内温湿度等，并可远程传输），并配备必要的安全防护装置（如防火、防盗报警）。</w:t>
                  </w:r>
                </w:p>
                <w:p>
                  <w:pPr>
                    <w:pStyle w:val="null3"/>
                    <w:jc w:val="both"/>
                  </w:pPr>
                  <w:r>
                    <w:rPr>
                      <w:rFonts w:ascii="仿宋_GB2312" w:hAnsi="仿宋_GB2312" w:cs="仿宋_GB2312" w:eastAsia="仿宋_GB2312"/>
                      <w:sz w:val="21"/>
                      <w:color w:val="000000"/>
                    </w:rPr>
                    <w:t>6.定位与适配：机舱应能为其内部停靠的无人机提供高精度定位基准，以实现自动化精准收放。须具备良好的兼容性，支持与所列飞行器及其它任务设备的集成。</w:t>
                  </w:r>
                </w:p>
              </w:tc>
              <w:tc>
                <w:tcPr>
                  <w:tcW w:type="dxa" w:w="244"/>
                  <w:vMerge/>
                  <w:tcBorders>
                    <w:top w:val="none" w:color="000000" w:sz="4"/>
                    <w:left w:val="single" w:color="000000" w:sz="4"/>
                    <w:bottom w:val="single" w:color="000000" w:sz="4"/>
                    <w:right w:val="single" w:color="000000" w:sz="4"/>
                  </w:tcBorders>
                </w:tcPr>
                <w:p/>
              </w:tc>
            </w:tr>
            <w:tr>
              <w:tc>
                <w:tcPr>
                  <w:tcW w:type="dxa" w:w="147"/>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配件参数</w:t>
                  </w:r>
                </w:p>
                <w:p>
                  <w:pPr>
                    <w:pStyle w:val="null3"/>
                    <w:jc w:val="both"/>
                  </w:pPr>
                  <w:r>
                    <w:rPr>
                      <w:rFonts w:ascii="仿宋_GB2312" w:hAnsi="仿宋_GB2312" w:cs="仿宋_GB2312" w:eastAsia="仿宋_GB2312"/>
                      <w:sz w:val="21"/>
                      <w:color w:val="000000"/>
                    </w:rPr>
                    <w:t>1.吊运系统</w:t>
                  </w:r>
                </w:p>
                <w:p>
                  <w:pPr>
                    <w:pStyle w:val="null3"/>
                    <w:jc w:val="both"/>
                  </w:pPr>
                  <w:r>
                    <w:rPr>
                      <w:rFonts w:ascii="仿宋_GB2312" w:hAnsi="仿宋_GB2312" w:cs="仿宋_GB2312" w:eastAsia="仿宋_GB2312"/>
                      <w:sz w:val="21"/>
                      <w:color w:val="000000"/>
                    </w:rPr>
                    <w:t>安全工作负载不低于80kg</w:t>
                  </w:r>
                  <w:r>
                    <w:rPr>
                      <w:rFonts w:ascii="仿宋_GB2312" w:hAnsi="仿宋_GB2312" w:cs="仿宋_GB2312" w:eastAsia="仿宋_GB2312"/>
                      <w:sz w:val="21"/>
                      <w:color w:val="000000"/>
                    </w:rPr>
                    <w:t>；</w:t>
                  </w:r>
                  <w:r>
                    <w:rPr>
                      <w:rFonts w:ascii="仿宋_GB2312" w:hAnsi="仿宋_GB2312" w:cs="仿宋_GB2312" w:eastAsia="仿宋_GB2312"/>
                      <w:sz w:val="21"/>
                      <w:color w:val="000000"/>
                    </w:rPr>
                    <w:t>缆绳有效长度应可调，最大作业长度不低于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0米。</w:t>
                  </w:r>
                </w:p>
                <w:p>
                  <w:pPr>
                    <w:pStyle w:val="null3"/>
                    <w:jc w:val="both"/>
                  </w:pPr>
                  <w:r>
                    <w:rPr>
                      <w:rFonts w:ascii="仿宋_GB2312" w:hAnsi="仿宋_GB2312" w:cs="仿宋_GB2312" w:eastAsia="仿宋_GB2312"/>
                      <w:sz w:val="21"/>
                      <w:color w:val="000000"/>
                    </w:rPr>
                    <w:t>2.增强图传模块</w:t>
                  </w:r>
                </w:p>
                <w:p>
                  <w:pPr>
                    <w:pStyle w:val="null3"/>
                    <w:jc w:val="both"/>
                  </w:pPr>
                  <w:r>
                    <w:rPr>
                      <w:rFonts w:ascii="仿宋_GB2312" w:hAnsi="仿宋_GB2312" w:cs="仿宋_GB2312" w:eastAsia="仿宋_GB2312"/>
                      <w:sz w:val="21"/>
                      <w:color w:val="000000"/>
                    </w:rPr>
                    <w:t>功能要求：在典型的林业作业环境中，能保证至少2公里范围内的控制信号稳定、图传连续且延迟可控。</w:t>
                  </w:r>
                </w:p>
                <w:p>
                  <w:pPr>
                    <w:pStyle w:val="null3"/>
                    <w:jc w:val="both"/>
                  </w:pPr>
                  <w:r>
                    <w:rPr>
                      <w:rFonts w:ascii="仿宋_GB2312" w:hAnsi="仿宋_GB2312" w:cs="仿宋_GB2312" w:eastAsia="仿宋_GB2312"/>
                      <w:sz w:val="21"/>
                      <w:color w:val="000000"/>
                    </w:rPr>
                    <w:t>3.水箱</w:t>
                  </w:r>
                </w:p>
                <w:p>
                  <w:pPr>
                    <w:pStyle w:val="null3"/>
                    <w:jc w:val="both"/>
                  </w:pPr>
                  <w:r>
                    <w:rPr>
                      <w:rFonts w:ascii="仿宋_GB2312" w:hAnsi="仿宋_GB2312" w:cs="仿宋_GB2312" w:eastAsia="仿宋_GB2312"/>
                      <w:sz w:val="21"/>
                      <w:color w:val="000000"/>
                    </w:rPr>
                    <w:t>材质：PVC；容积：1吨</w:t>
                  </w:r>
                </w:p>
              </w:tc>
              <w:tc>
                <w:tcPr>
                  <w:tcW w:type="dxa" w:w="244"/>
                  <w:vMerge/>
                  <w:tcBorders>
                    <w:top w:val="none" w:color="000000" w:sz="4"/>
                    <w:left w:val="single" w:color="000000" w:sz="4"/>
                    <w:bottom w:val="single" w:color="000000" w:sz="4"/>
                    <w:right w:val="single" w:color="000000" w:sz="4"/>
                  </w:tcBorders>
                </w:tc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扑火巡护装备</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材料</w:t>
                  </w:r>
                  <w:r>
                    <w:rPr>
                      <w:rFonts w:ascii="仿宋_GB2312" w:hAnsi="仿宋_GB2312" w:cs="仿宋_GB2312" w:eastAsia="仿宋_GB2312"/>
                      <w:sz w:val="21"/>
                      <w:color w:val="000000"/>
                    </w:rPr>
                    <w:t>：</w:t>
                  </w:r>
                  <w:r>
                    <w:rPr>
                      <w:rFonts w:ascii="仿宋_GB2312" w:hAnsi="仿宋_GB2312" w:cs="仿宋_GB2312" w:eastAsia="仿宋_GB2312"/>
                      <w:sz w:val="21"/>
                      <w:color w:val="000000"/>
                    </w:rPr>
                    <w:t>芳纶暗格布料</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耐摩擦色牢度级</w:t>
                  </w:r>
                </w:p>
                <w:p>
                  <w:pPr>
                    <w:pStyle w:val="null3"/>
                    <w:jc w:val="both"/>
                  </w:pPr>
                  <w:r>
                    <w:rPr>
                      <w:rFonts w:ascii="仿宋_GB2312" w:hAnsi="仿宋_GB2312" w:cs="仿宋_GB2312" w:eastAsia="仿宋_GB2312"/>
                      <w:sz w:val="21"/>
                      <w:color w:val="000000"/>
                    </w:rPr>
                    <w:t>干摩擦≥3-4</w:t>
                  </w:r>
                  <w:r>
                    <w:br/>
                  </w:r>
                  <w:r>
                    <w:rPr>
                      <w:rFonts w:ascii="仿宋_GB2312" w:hAnsi="仿宋_GB2312" w:cs="仿宋_GB2312" w:eastAsia="仿宋_GB2312"/>
                      <w:sz w:val="21"/>
                      <w:color w:val="000000"/>
                    </w:rPr>
                    <w:t>湿摩擦≥3</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洗涤次数50次以上</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洗涤50次后续燃时间（s）≤1；阴燃时间（s）≤1；损毁长度（mm）≤50；断裂强度：经≥1100N，纬≥1000N</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水洗尺寸变化率%-2.5至+2.5</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热稳定性能%≤10</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甲醛含量mg/kg≤300</w:t>
                  </w:r>
                </w:p>
                <w:p>
                  <w:pPr>
                    <w:pStyle w:val="null3"/>
                    <w:jc w:val="both"/>
                  </w:pPr>
                  <w:r>
                    <w:rPr>
                      <w:rFonts w:ascii="仿宋_GB2312" w:hAnsi="仿宋_GB2312" w:cs="仿宋_GB2312" w:eastAsia="仿宋_GB2312"/>
                      <w:sz w:val="21"/>
                      <w:color w:val="000000"/>
                    </w:rPr>
                    <w:t>8、pH值</w:t>
                  </w:r>
                  <w:r>
                    <w:rPr>
                      <w:rFonts w:ascii="仿宋_GB2312" w:hAnsi="仿宋_GB2312" w:cs="仿宋_GB2312" w:eastAsia="仿宋_GB2312"/>
                      <w:sz w:val="21"/>
                      <w:color w:val="000000"/>
                    </w:rPr>
                    <w:t>4.0-9.0</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单位面积质量≤210g/㎡</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缝纫线</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单线强力10N，在260℃±5℃环境中，经5秒热稳定性试验后，无熔融和烧焦现象。</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反光带</w:t>
                  </w:r>
                  <w:r>
                    <w:rPr>
                      <w:rFonts w:ascii="仿宋_GB2312" w:hAnsi="仿宋_GB2312" w:cs="仿宋_GB2312" w:eastAsia="仿宋_GB2312"/>
                      <w:sz w:val="21"/>
                      <w:color w:val="000000"/>
                    </w:rPr>
                    <w:t>：</w:t>
                  </w:r>
                  <w:r>
                    <w:rPr>
                      <w:rFonts w:ascii="仿宋_GB2312" w:hAnsi="仿宋_GB2312" w:cs="仿宋_GB2312" w:eastAsia="仿宋_GB2312"/>
                      <w:sz w:val="21"/>
                      <w:color w:val="000000"/>
                    </w:rPr>
                    <w:t>阻燃性能GB/T33536-2017标准，反光带在260℃±5℃环境中，经5秒热稳定性试验后，表面无碳化、脱落现象。</w:t>
                  </w:r>
                </w:p>
                <w:p>
                  <w:pPr>
                    <w:pStyle w:val="null3"/>
                    <w:jc w:val="both"/>
                  </w:pPr>
                  <w:r>
                    <w:rPr>
                      <w:rFonts w:ascii="仿宋_GB2312" w:hAnsi="仿宋_GB2312" w:cs="仿宋_GB2312" w:eastAsia="仿宋_GB2312"/>
                      <w:sz w:val="21"/>
                      <w:color w:val="000000"/>
                    </w:rPr>
                    <w:t>其他</w:t>
                  </w:r>
                </w:p>
                <w:p>
                  <w:pPr>
                    <w:pStyle w:val="null3"/>
                    <w:numPr>
                      <w:ilvl w:val="0"/>
                      <w:numId w:val="1"/>
                    </w:numPr>
                    <w:jc w:val="both"/>
                  </w:pPr>
                  <w:r>
                    <w:rPr>
                      <w:rFonts w:ascii="仿宋_GB2312" w:hAnsi="仿宋_GB2312" w:cs="仿宋_GB2312" w:eastAsia="仿宋_GB2312"/>
                      <w:sz w:val="21"/>
                      <w:color w:val="000000"/>
                    </w:rPr>
                    <w:t>产品检测依据为国家林业局最新发布的GB/T33536-2017标准检验。</w:t>
                  </w:r>
                  <w:r>
                    <w:br/>
                  </w:r>
                  <w:r>
                    <w:rPr>
                      <w:rFonts w:ascii="仿宋_GB2312" w:hAnsi="仿宋_GB2312" w:cs="仿宋_GB2312" w:eastAsia="仿宋_GB2312"/>
                      <w:sz w:val="21"/>
                      <w:color w:val="000000"/>
                    </w:rPr>
                    <w:t>13、</w:t>
                  </w:r>
                  <w:r>
                    <w:rPr>
                      <w:rFonts w:ascii="仿宋_GB2312" w:hAnsi="仿宋_GB2312" w:cs="仿宋_GB2312" w:eastAsia="仿宋_GB2312"/>
                      <w:sz w:val="21"/>
                      <w:color w:val="000000"/>
                    </w:rPr>
                    <w:t>设计款式：夹克式宽松设计，穿着宽松舒适</w:t>
                  </w:r>
                  <w:r>
                    <w:rPr>
                      <w:rFonts w:ascii="仿宋_GB2312" w:hAnsi="仿宋_GB2312" w:cs="仿宋_GB2312" w:eastAsia="仿宋_GB2312"/>
                      <w:sz w:val="21"/>
                      <w:color w:val="000000"/>
                    </w:rPr>
                    <w:t>，</w:t>
                  </w:r>
                  <w:r>
                    <w:rPr>
                      <w:rFonts w:ascii="仿宋_GB2312" w:hAnsi="仿宋_GB2312" w:cs="仿宋_GB2312" w:eastAsia="仿宋_GB2312"/>
                      <w:sz w:val="21"/>
                      <w:color w:val="000000"/>
                    </w:rPr>
                    <w:t>包裆处理，重点部位采用双线包膝包肘处理，美观大方。</w:t>
                  </w:r>
                  <w:r>
                    <w:br/>
                  </w:r>
                  <w:r>
                    <w:rPr>
                      <w:rFonts w:ascii="仿宋_GB2312" w:hAnsi="仿宋_GB2312" w:cs="仿宋_GB2312" w:eastAsia="仿宋_GB2312"/>
                      <w:sz w:val="21"/>
                      <w:color w:val="000000"/>
                    </w:rPr>
                    <w:t>14、</w:t>
                  </w:r>
                  <w:r>
                    <w:rPr>
                      <w:rFonts w:ascii="仿宋_GB2312" w:hAnsi="仿宋_GB2312" w:cs="仿宋_GB2312" w:eastAsia="仿宋_GB2312"/>
                      <w:sz w:val="21"/>
                      <w:color w:val="000000"/>
                    </w:rPr>
                    <w:t>前胸、后背、双臂、腿部有醒目的反光条；能清</w:t>
                  </w:r>
                  <w:r>
                    <w:rPr>
                      <w:rFonts w:ascii="仿宋_GB2312" w:hAnsi="仿宋_GB2312" w:cs="仿宋_GB2312" w:eastAsia="仿宋_GB2312"/>
                      <w:sz w:val="21"/>
                      <w:color w:val="000000"/>
                    </w:rPr>
                    <w:t>晰地</w:t>
                  </w:r>
                  <w:r>
                    <w:rPr>
                      <w:rFonts w:ascii="仿宋_GB2312" w:hAnsi="仿宋_GB2312" w:cs="仿宋_GB2312" w:eastAsia="仿宋_GB2312"/>
                      <w:sz w:val="21"/>
                      <w:color w:val="000000"/>
                    </w:rPr>
                    <w:t>识别队员在烟雾和夜间工作中的具体方位。</w:t>
                  </w:r>
                  <w:r>
                    <w:br/>
                  </w:r>
                  <w:r>
                    <w:rPr>
                      <w:rFonts w:ascii="仿宋_GB2312" w:hAnsi="仿宋_GB2312" w:cs="仿宋_GB2312" w:eastAsia="仿宋_GB2312"/>
                      <w:sz w:val="21"/>
                      <w:color w:val="000000"/>
                    </w:rPr>
                    <w:t>15</w:t>
                  </w:r>
                  <w:r>
                    <w:rPr>
                      <w:rFonts w:ascii="仿宋_GB2312" w:hAnsi="仿宋_GB2312" w:cs="仿宋_GB2312" w:eastAsia="仿宋_GB2312"/>
                      <w:sz w:val="21"/>
                      <w:color w:val="000000"/>
                    </w:rPr>
                    <w:t>左臂有墨绿色的“中国森林消防”专用臂章，前胸有“XX森林消防”胸条，后背有“X线X森林消防”字样，标志性强，突出行业特点。</w:t>
                  </w:r>
                  <w:r>
                    <w:br/>
                  </w:r>
                  <w:r>
                    <w:rPr>
                      <w:rFonts w:ascii="仿宋_GB2312" w:hAnsi="仿宋_GB2312" w:cs="仿宋_GB2312" w:eastAsia="仿宋_GB2312"/>
                      <w:sz w:val="21"/>
                      <w:color w:val="000000"/>
                    </w:rPr>
                    <w:t>16、</w:t>
                  </w:r>
                  <w:r>
                    <w:rPr>
                      <w:rFonts w:ascii="仿宋_GB2312" w:hAnsi="仿宋_GB2312" w:cs="仿宋_GB2312" w:eastAsia="仿宋_GB2312"/>
                      <w:sz w:val="21"/>
                      <w:color w:val="000000"/>
                    </w:rPr>
                    <w:t>衣领可立，可</w:t>
                  </w:r>
                  <w:r>
                    <w:rPr>
                      <w:rFonts w:ascii="仿宋_GB2312" w:hAnsi="仿宋_GB2312" w:cs="仿宋_GB2312" w:eastAsia="仿宋_GB2312"/>
                      <w:sz w:val="21"/>
                      <w:color w:val="000000"/>
                    </w:rPr>
                    <w:t>与</w:t>
                  </w:r>
                  <w:r>
                    <w:rPr>
                      <w:rFonts w:ascii="仿宋_GB2312" w:hAnsi="仿宋_GB2312" w:cs="仿宋_GB2312" w:eastAsia="仿宋_GB2312"/>
                      <w:sz w:val="21"/>
                      <w:color w:val="000000"/>
                    </w:rPr>
                    <w:t>头盔、披肩结合一体形成保护。</w:t>
                  </w:r>
                  <w:r>
                    <w:br/>
                  </w:r>
                  <w:r>
                    <w:rPr>
                      <w:rFonts w:ascii="仿宋_GB2312" w:hAnsi="仿宋_GB2312" w:cs="仿宋_GB2312" w:eastAsia="仿宋_GB2312"/>
                      <w:sz w:val="21"/>
                      <w:color w:val="000000"/>
                    </w:rPr>
                    <w:t>17、</w:t>
                  </w:r>
                  <w:r>
                    <w:rPr>
                      <w:rFonts w:ascii="仿宋_GB2312" w:hAnsi="仿宋_GB2312" w:cs="仿宋_GB2312" w:eastAsia="仿宋_GB2312"/>
                      <w:sz w:val="21"/>
                      <w:color w:val="000000"/>
                    </w:rPr>
                    <w:t>贴边采用粘扣设计，经</w:t>
                  </w:r>
                  <w:r>
                    <w:rPr>
                      <w:rFonts w:ascii="仿宋_GB2312" w:hAnsi="仿宋_GB2312" w:cs="仿宋_GB2312" w:eastAsia="仿宋_GB2312"/>
                      <w:sz w:val="21"/>
                      <w:color w:val="000000"/>
                    </w:rPr>
                    <w:t>不少于7000</w:t>
                  </w:r>
                  <w:r>
                    <w:rPr>
                      <w:rFonts w:ascii="仿宋_GB2312" w:hAnsi="仿宋_GB2312" w:cs="仿宋_GB2312" w:eastAsia="仿宋_GB2312"/>
                      <w:sz w:val="21"/>
                      <w:color w:val="000000"/>
                    </w:rPr>
                    <w:t>次使用后，仍然具有良好的扣合效果</w:t>
                  </w:r>
                  <w:r>
                    <w:rPr>
                      <w:rFonts w:ascii="仿宋_GB2312" w:hAnsi="仿宋_GB2312" w:cs="仿宋_GB2312" w:eastAsia="仿宋_GB2312"/>
                      <w:sz w:val="21"/>
                      <w:color w:val="000000"/>
                    </w:rPr>
                    <w:t>。</w:t>
                  </w:r>
                  <w:r>
                    <w:rPr>
                      <w:rFonts w:ascii="仿宋_GB2312" w:hAnsi="仿宋_GB2312" w:cs="仿宋_GB2312" w:eastAsia="仿宋_GB2312"/>
                      <w:sz w:val="21"/>
                      <w:color w:val="000000"/>
                    </w:rPr>
                    <w:t>全套服装无金属部件，以免烫伤队员。</w:t>
                  </w:r>
                  <w:r>
                    <w:br/>
                  </w:r>
                  <w:r>
                    <w:rPr>
                      <w:rFonts w:ascii="仿宋_GB2312" w:hAnsi="仿宋_GB2312" w:cs="仿宋_GB2312" w:eastAsia="仿宋_GB2312"/>
                      <w:sz w:val="21"/>
                      <w:color w:val="000000"/>
                    </w:rPr>
                    <w:t>18、</w:t>
                  </w:r>
                  <w:r>
                    <w:rPr>
                      <w:rFonts w:ascii="仿宋_GB2312" w:hAnsi="仿宋_GB2312" w:cs="仿宋_GB2312" w:eastAsia="仿宋_GB2312"/>
                      <w:sz w:val="21"/>
                      <w:color w:val="000000"/>
                    </w:rPr>
                    <w:t>上衣底摆、袖口处采用收紧式结构，有效防止灰尘进入且具有舒适性。贴边要采用粘扣，裤口、裤腰处的收紧结构能适应不同腰围尺寸的人员穿着。</w:t>
                  </w:r>
                </w:p>
                <w:p>
                  <w:pPr>
                    <w:pStyle w:val="null3"/>
                    <w:jc w:val="both"/>
                  </w:pPr>
                  <w:r>
                    <w:rPr>
                      <w:rFonts w:ascii="仿宋_GB2312" w:hAnsi="仿宋_GB2312" w:cs="仿宋_GB2312" w:eastAsia="仿宋_GB2312"/>
                      <w:sz w:val="21"/>
                      <w:color w:val="000000"/>
                    </w:rPr>
                    <w:t>19. 扑火巡护棉衣材质：TPU 防水透湿复合布。</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详见招标文件合同相关条款。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法定代表人直接参加开标的须出具法定代表人身份证（须与营业执照上信息一致），法定代表人授权代表参加开标的须出具法定代表人授权书。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本项目不专门面向中小企业采购，供应商应为大型企业、中小微企业、监狱企业、残疾人福利性单位；落实陕西省财政厅关于印发《陕西省中小企业政府采购信用融资办法》（陕财办采〔2018〕23号）等内容。</w:t>
            </w:r>
          </w:p>
        </w:tc>
        <w:tc>
          <w:tcPr>
            <w:tcW w:type="dxa" w:w="1661"/>
          </w:tcPr>
          <w:p>
            <w:pPr>
              <w:pStyle w:val="null3"/>
            </w:pPr>
            <w:r>
              <w:rPr>
                <w:rFonts w:ascii="仿宋_GB2312" w:hAnsi="仿宋_GB2312" w:cs="仿宋_GB2312" w:eastAsia="仿宋_GB2312"/>
              </w:rPr>
              <w:t>供应商应提交的相关资格证明材料.docx 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分项报价表.docx 供应商应提交的相关资格证明材料.docx 中小企业声明函.docx 投标函 残疾人福利性单位声明函 偏离表.docx 供货方案.docx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 偏离表.docx 供货方案.docx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投标函 偏离表.docx 供货方案.docx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 其中投标文件有效期：有效期满足招标文件要求的； 投标文件格式：投标文件按规定的格式填写，内容完整且关键字迹清晰； 备选方案：供应商不得提交两份或者多份内容不同的投标文件，或者在同一份投标文件中对同一采购项目有两个或者多个报价； 投标文件内容：供应商提供的服务无实质性遗漏； 技术响应：符合“采购需求”要求，保证服务质量且无重大偏差； 交货期和交货地点：满足招标文件要求； 付款方式：招标文件不允许偏差时，投标文件无负偏差；</w:t>
            </w:r>
          </w:p>
        </w:tc>
        <w:tc>
          <w:tcPr>
            <w:tcW w:type="dxa" w:w="1661"/>
          </w:tcPr>
          <w:p>
            <w:pPr>
              <w:pStyle w:val="null3"/>
            </w:pPr>
            <w:r>
              <w:rPr>
                <w:rFonts w:ascii="仿宋_GB2312" w:hAnsi="仿宋_GB2312" w:cs="仿宋_GB2312" w:eastAsia="仿宋_GB2312"/>
              </w:rPr>
              <w:t>开标一览表 分项报价表.docx 供应商应提交的相关资格证明材料.docx 中小企业声明函.docx 投标函 残疾人福利性单位声明函 偏离表.docx 供货方案.docx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设备性能指标</w:t>
            </w:r>
          </w:p>
        </w:tc>
        <w:tc>
          <w:tcPr>
            <w:tcW w:type="dxa" w:w="2492"/>
          </w:tcPr>
          <w:p>
            <w:pPr>
              <w:pStyle w:val="null3"/>
            </w:pPr>
            <w:r>
              <w:rPr>
                <w:rFonts w:ascii="仿宋_GB2312" w:hAnsi="仿宋_GB2312" w:cs="仿宋_GB2312" w:eastAsia="仿宋_GB2312"/>
              </w:rPr>
              <w:t>针对本项目的设备性能指标（其中包括但不限于产品技术参数清晰明确、产品性能良好等）（5分）。 对本项目提供设备性能指标证明文件，根据内容深入性、可实施性、针对性进行评审: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针对本项目的供货方案（其中包括但不限于供货组织安排、供货进度计划等）（5分）。 对本项目提供供货方案，根据内容深入性、可实施性、针对性进行评审: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安装调试及验收方案</w:t>
            </w:r>
          </w:p>
        </w:tc>
        <w:tc>
          <w:tcPr>
            <w:tcW w:type="dxa" w:w="2492"/>
          </w:tcPr>
          <w:p>
            <w:pPr>
              <w:pStyle w:val="null3"/>
            </w:pPr>
            <w:r>
              <w:rPr>
                <w:rFonts w:ascii="仿宋_GB2312" w:hAnsi="仿宋_GB2312" w:cs="仿宋_GB2312" w:eastAsia="仿宋_GB2312"/>
              </w:rPr>
              <w:t>针对本项目的安装调试及验收方案（其中包括但不限于提供详细可行的现场安装调试、校验及验收测试方案等）（5分）。 对本项目提供安装调试及验收方案，根据内容深入性、可实施性、针对性进行评审: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产品说明</w:t>
            </w:r>
          </w:p>
        </w:tc>
        <w:tc>
          <w:tcPr>
            <w:tcW w:type="dxa" w:w="2492"/>
          </w:tcPr>
          <w:p>
            <w:pPr>
              <w:pStyle w:val="null3"/>
            </w:pPr>
            <w:r>
              <w:rPr>
                <w:rFonts w:ascii="仿宋_GB2312" w:hAnsi="仿宋_GB2312" w:cs="仿宋_GB2312" w:eastAsia="仿宋_GB2312"/>
              </w:rPr>
              <w:t>针对本项目的产品说明（其中包括但不限于提供产品说明书或彩页等）（5分）。 对本项目提供产品说明，根据内容深入性、可实施性、针对性进行评审: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针对本项目的质量保证（其中包括但不限于质量保证措施、产品来源渠道证明等）（5分）。 对本项目提供质量保证，根据内容深入性、可实施性、针对性进行评审: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针对本项目的售后服务（其中包括但不限于售后服务内容及保障、服务响应时间及承诺等）（5分）。 对本项目提供售后服务，根据内容深入性、可实施性、针对性进行评审: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针对本项目的应急预案（其中包括但不限于出现质量问题时的紧急处理措施、故障响应时技术保障方案等）（5分）。 对本项目提供应急预案，根据内容深入性、可实施性、针对性进行评审: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针对本项目的项目团队配置（其中包括但不限于团队组成、项目人员经验等）（5分）。 对本项目提供项目团队配置，根据内容深入性、可实施性、针对性进行评审: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针对本项目的培训方案（其中包括但不限于培训计划、培训内容等）（5分）。 对本项目提供培训方案，根据内容深入性、可实施性、针对性进行评审: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产品质量及服务承诺</w:t>
            </w:r>
          </w:p>
        </w:tc>
        <w:tc>
          <w:tcPr>
            <w:tcW w:type="dxa" w:w="2492"/>
          </w:tcPr>
          <w:p>
            <w:pPr>
              <w:pStyle w:val="null3"/>
            </w:pPr>
            <w:r>
              <w:rPr>
                <w:rFonts w:ascii="仿宋_GB2312" w:hAnsi="仿宋_GB2312" w:cs="仿宋_GB2312" w:eastAsia="仿宋_GB2312"/>
              </w:rPr>
              <w:t>针对本项目的产品质量及服务承诺（其中包括但不限于产品质量承诺、服务承诺等）（5分）。 对本项目提供产品质量及服务承诺，根据内容深入性、可实施性、针对性进行评审: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针对本项目的实施保障措施（其中包括但不限于人员保障措施、时效保障措施等）（5分）。 对本项目提供实施保障措施，根据内容深入性、可实施性、针对性进行评审:①内容条理清晰、切实可行得5分；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为本项目提出合理化建议（其中包括但不限于进度控制方面建议、质量控制方面建议等）（5分） 对本项目提供合理化建议，根据内容深入性、可实施性、针对性进行评审：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针对本项目实际情况，结合项目特点为采购人提供相应的增值服务内容，每提供一个得2.5分，满分5分。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供应商需具有2022年1月1日至今的同类项目业绩（以合同签订时间为准），每提供一个计2.5分，满分5分。 注：响应文件中提供合同复印件或中标（成交）通知书复印件加盖公章。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满足招标文件要求且投标报价最低的供应商的价格为投标基准价，其价格分为满分。其他供应商的价格分统一按照下列公式计算：投标报价得分=（投标基准价/投标报价）×价格权值×100%。 符合招标文件规定的小微企业、监狱企业、残疾人福利性单位优惠条件的供应商，价格给予10%的扣除，用扣除后的价格参与评标。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残疾人福利性单位声明函</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