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567F6">
      <w:pPr>
        <w:pStyle w:val="7"/>
        <w:jc w:val="center"/>
        <w:outlineLvl w:val="1"/>
        <w:rPr>
          <w:color w:val="000000" w:themeColor="text1"/>
          <w:highlight w:val="none"/>
          <w14:textFill>
            <w14:solidFill>
              <w14:schemeClr w14:val="tx1"/>
            </w14:solidFill>
          </w14:textFill>
        </w:rPr>
      </w:pPr>
      <w:r>
        <w:rPr>
          <w:rFonts w:ascii="仿宋_GB2312" w:hAnsi="仿宋_GB2312" w:eastAsia="仿宋_GB2312" w:cs="仿宋_GB2312"/>
          <w:b/>
          <w:color w:val="000000" w:themeColor="text1"/>
          <w:sz w:val="36"/>
          <w:highlight w:val="none"/>
          <w14:textFill>
            <w14:solidFill>
              <w14:schemeClr w14:val="tx1"/>
            </w14:solidFill>
          </w14:textFill>
        </w:rPr>
        <w:t>拟签订采购合同文本</w:t>
      </w:r>
    </w:p>
    <w:p w14:paraId="3F82B287">
      <w:pPr>
        <w:pStyle w:val="8"/>
        <w:spacing w:line="360" w:lineRule="auto"/>
        <w:ind w:firstLine="420"/>
        <w:rPr>
          <w:rFonts w:ascii="仿宋_GB2312" w:hAnsi="仿宋_GB2312" w:eastAsia="仿宋_GB2312" w:cs="仿宋_GB2312"/>
          <w:color w:val="FF0000"/>
        </w:rPr>
      </w:pPr>
      <w:r>
        <w:rPr>
          <w:rFonts w:hint="eastAsia" w:ascii="仿宋" w:hAnsi="仿宋" w:eastAsia="仿宋" w:cs="仿宋"/>
          <w:color w:val="auto"/>
          <w:sz w:val="24"/>
          <w:szCs w:val="24"/>
          <w:highlight w:val="none"/>
        </w:rPr>
        <w:t>采购人（甲方）：</w:t>
      </w:r>
    </w:p>
    <w:p w14:paraId="37F24F32">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（乙方）：</w:t>
      </w:r>
    </w:p>
    <w:p w14:paraId="7BD36409">
      <w:pPr>
        <w:pStyle w:val="8"/>
        <w:spacing w:before="120" w:beforeLines="50"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根据《中华人民共和国政府采购法》及实施条例、《中华人民共和国</w:t>
      </w:r>
      <w:r>
        <w:rPr>
          <w:rFonts w:hint="eastAsia" w:ascii="仿宋" w:hAnsi="仿宋" w:eastAsia="仿宋" w:cs="仿宋"/>
          <w:color w:val="auto"/>
          <w:sz w:val="24"/>
          <w:szCs w:val="24"/>
          <w:highlight w:val="none"/>
          <w:lang w:val="en-US" w:eastAsia="zh-CN"/>
        </w:rPr>
        <w:t>民法典</w:t>
      </w:r>
      <w:r>
        <w:rPr>
          <w:rFonts w:hint="eastAsia" w:ascii="仿宋" w:hAnsi="仿宋" w:eastAsia="仿宋" w:cs="仿宋"/>
          <w:color w:val="auto"/>
          <w:sz w:val="24"/>
          <w:szCs w:val="24"/>
          <w:highlight w:val="none"/>
        </w:rPr>
        <w:t>》和甲方</w:t>
      </w:r>
      <w:r>
        <w:rPr>
          <w:rFonts w:hint="eastAsia" w:ascii="仿宋" w:hAnsi="仿宋" w:eastAsia="仿宋" w:cs="仿宋"/>
          <w:color w:val="auto"/>
          <w:sz w:val="24"/>
          <w:szCs w:val="24"/>
          <w:highlight w:val="none"/>
          <w:u w:val="single"/>
        </w:rPr>
        <w:t xml:space="preserve"> </w:t>
      </w:r>
      <w:r>
        <w:rPr>
          <w:rFonts w:hint="eastAsia" w:ascii="仿宋" w:hAnsi="仿宋" w:eastAsia="仿宋" w:cs="仿宋"/>
          <w:b w:val="0"/>
          <w:bCs w:val="0"/>
          <w:i w:val="0"/>
          <w:iCs w:val="0"/>
          <w:color w:val="auto"/>
          <w:sz w:val="24"/>
          <w:szCs w:val="24"/>
          <w:highlight w:val="none"/>
          <w:u w:val="single"/>
          <w:lang w:val="en-US" w:eastAsia="zh-CN"/>
        </w:rPr>
        <w:t xml:space="preserve">             </w:t>
      </w:r>
      <w:r>
        <w:rPr>
          <w:rFonts w:hint="eastAsia" w:ascii="仿宋" w:hAnsi="仿宋" w:eastAsia="仿宋" w:cs="仿宋"/>
          <w:b w:val="0"/>
          <w:bCs w:val="0"/>
          <w:i w:val="0"/>
          <w:iCs w:val="0"/>
          <w:color w:val="auto"/>
          <w:sz w:val="24"/>
          <w:szCs w:val="24"/>
          <w:highlight w:val="none"/>
          <w:u w:val="single"/>
        </w:rPr>
        <w:t xml:space="preserve"> </w:t>
      </w:r>
      <w:r>
        <w:rPr>
          <w:rFonts w:hint="eastAsia" w:ascii="仿宋" w:hAnsi="仿宋" w:eastAsia="仿宋" w:cs="仿宋"/>
          <w:color w:val="auto"/>
          <w:sz w:val="24"/>
          <w:szCs w:val="24"/>
          <w:highlight w:val="none"/>
        </w:rPr>
        <w:t>（采购项目编号：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招标文件</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供应商投标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rPr>
        <w:t>等有关规定，为确保甲方采购项目的顺利实施，甲、乙双方在平等自愿原则下签订本合同，并共同遵守如下条款：</w:t>
      </w:r>
    </w:p>
    <w:p w14:paraId="5AAF84DD">
      <w:pPr>
        <w:pStyle w:val="8"/>
        <w:spacing w:before="120" w:beforeLines="50" w:line="360" w:lineRule="auto"/>
        <w:ind w:firstLine="360" w:firstLineChars="15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第一条 合同标的及数量</w:t>
      </w:r>
    </w:p>
    <w:p w14:paraId="64C11562">
      <w:pPr>
        <w:pStyle w:val="8"/>
        <w:spacing w:before="120" w:beforeLines="50" w:line="360" w:lineRule="auto"/>
        <w:ind w:firstLine="600" w:firstLineChars="25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乙方向甲方提供下列货物（产品）：</w:t>
      </w:r>
    </w:p>
    <w:p w14:paraId="43A9CE67">
      <w:pPr>
        <w:pStyle w:val="3"/>
        <w:spacing w:before="120" w:beforeLines="50" w:after="120" w:afterLines="50"/>
        <w:ind w:left="0" w:leftChars="0" w:firstLine="0" w:firstLineChars="0"/>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供货一览表</w:t>
      </w:r>
    </w:p>
    <w:tbl>
      <w:tblPr>
        <w:tblStyle w:val="5"/>
        <w:tblpPr w:leftFromText="180" w:rightFromText="180" w:vertAnchor="text" w:horzAnchor="margin" w:tblpY="309"/>
        <w:tblW w:w="947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836"/>
        <w:gridCol w:w="1234"/>
        <w:gridCol w:w="1673"/>
        <w:gridCol w:w="1793"/>
        <w:gridCol w:w="1043"/>
        <w:gridCol w:w="1057"/>
      </w:tblGrid>
      <w:tr w14:paraId="06A6FB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40" w:type="dxa"/>
            <w:noWrap w:val="0"/>
            <w:vAlign w:val="center"/>
          </w:tcPr>
          <w:p w14:paraId="157DD83A">
            <w:pPr>
              <w:keepNext w:val="0"/>
              <w:keepLines w:val="0"/>
              <w:widowControl/>
              <w:suppressLineNumbers w:val="0"/>
              <w:spacing w:line="360" w:lineRule="auto"/>
              <w:jc w:val="center"/>
              <w:textAlignment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color w:val="auto"/>
                <w:kern w:val="0"/>
                <w:sz w:val="21"/>
                <w:szCs w:val="21"/>
                <w:highlight w:val="none"/>
                <w:lang w:val="en-US" w:eastAsia="zh-CN" w:bidi="ar-SA"/>
              </w:rPr>
              <w:t>序号</w:t>
            </w:r>
          </w:p>
        </w:tc>
        <w:tc>
          <w:tcPr>
            <w:tcW w:w="1836" w:type="dxa"/>
            <w:noWrap w:val="0"/>
            <w:vAlign w:val="center"/>
          </w:tcPr>
          <w:p w14:paraId="0E5A75A2">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val="en-US" w:eastAsia="en-US" w:bidi="zh-CN"/>
              </w:rPr>
              <w:t>产品</w:t>
            </w:r>
            <w:r>
              <w:rPr>
                <w:rFonts w:hint="eastAsia" w:ascii="仿宋" w:hAnsi="仿宋" w:eastAsia="仿宋" w:cs="仿宋"/>
                <w:b/>
                <w:kern w:val="0"/>
                <w:szCs w:val="21"/>
                <w:highlight w:val="none"/>
                <w:lang w:val="zh-CN" w:eastAsia="en-US" w:bidi="zh-CN"/>
              </w:rPr>
              <w:t>名称</w:t>
            </w:r>
          </w:p>
        </w:tc>
        <w:tc>
          <w:tcPr>
            <w:tcW w:w="1234" w:type="dxa"/>
            <w:noWrap w:val="0"/>
            <w:vAlign w:val="center"/>
          </w:tcPr>
          <w:p w14:paraId="31A473F0">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eastAsia="en-US" w:bidi="zh-CN"/>
              </w:rPr>
              <w:t>品牌</w:t>
            </w:r>
          </w:p>
        </w:tc>
        <w:tc>
          <w:tcPr>
            <w:tcW w:w="1673" w:type="dxa"/>
            <w:noWrap w:val="0"/>
            <w:vAlign w:val="center"/>
          </w:tcPr>
          <w:p w14:paraId="478F6093">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val="en-US" w:eastAsia="en-US" w:bidi="zh-CN"/>
              </w:rPr>
              <w:t>规格</w:t>
            </w:r>
            <w:r>
              <w:rPr>
                <w:rFonts w:hint="eastAsia" w:ascii="仿宋" w:hAnsi="仿宋" w:eastAsia="仿宋" w:cs="仿宋"/>
                <w:b/>
                <w:kern w:val="0"/>
                <w:szCs w:val="21"/>
                <w:highlight w:val="none"/>
                <w:lang w:eastAsia="en-US" w:bidi="zh-CN"/>
              </w:rPr>
              <w:t>型号</w:t>
            </w:r>
          </w:p>
        </w:tc>
        <w:tc>
          <w:tcPr>
            <w:tcW w:w="1793" w:type="dxa"/>
            <w:noWrap w:val="0"/>
            <w:vAlign w:val="center"/>
          </w:tcPr>
          <w:p w14:paraId="4F58AE67">
            <w:pPr>
              <w:spacing w:line="320" w:lineRule="exact"/>
              <w:jc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kern w:val="0"/>
                <w:szCs w:val="21"/>
                <w:highlight w:val="none"/>
                <w:lang w:bidi="zh-CN"/>
              </w:rPr>
              <w:t>数量</w:t>
            </w:r>
          </w:p>
        </w:tc>
        <w:tc>
          <w:tcPr>
            <w:tcW w:w="1043" w:type="dxa"/>
            <w:noWrap w:val="0"/>
            <w:vAlign w:val="center"/>
          </w:tcPr>
          <w:p w14:paraId="638D30D8">
            <w:pPr>
              <w:keepNext w:val="0"/>
              <w:keepLines w:val="0"/>
              <w:widowControl/>
              <w:suppressLineNumbers w:val="0"/>
              <w:spacing w:line="360" w:lineRule="auto"/>
              <w:jc w:val="center"/>
              <w:textAlignment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color w:val="auto"/>
                <w:kern w:val="0"/>
                <w:sz w:val="21"/>
                <w:szCs w:val="21"/>
                <w:highlight w:val="none"/>
                <w:lang w:val="en-US" w:eastAsia="zh-CN" w:bidi="ar-SA"/>
              </w:rPr>
              <w:t>单价（元）</w:t>
            </w:r>
          </w:p>
        </w:tc>
        <w:tc>
          <w:tcPr>
            <w:tcW w:w="1057" w:type="dxa"/>
            <w:noWrap w:val="0"/>
            <w:vAlign w:val="center"/>
          </w:tcPr>
          <w:p w14:paraId="087F2B83">
            <w:pPr>
              <w:keepNext w:val="0"/>
              <w:keepLines w:val="0"/>
              <w:widowControl/>
              <w:suppressLineNumbers w:val="0"/>
              <w:spacing w:line="360" w:lineRule="auto"/>
              <w:jc w:val="center"/>
              <w:textAlignment w:val="center"/>
              <w:rPr>
                <w:rFonts w:hint="eastAsia" w:ascii="仿宋" w:hAnsi="仿宋" w:eastAsia="仿宋" w:cs="仿宋"/>
                <w:b/>
                <w:color w:val="auto"/>
                <w:kern w:val="0"/>
                <w:sz w:val="21"/>
                <w:szCs w:val="21"/>
                <w:highlight w:val="none"/>
                <w:lang w:val="en-US" w:eastAsia="zh-CN" w:bidi="ar-SA"/>
              </w:rPr>
            </w:pPr>
            <w:r>
              <w:rPr>
                <w:rFonts w:hint="eastAsia" w:ascii="仿宋" w:hAnsi="仿宋" w:eastAsia="仿宋" w:cs="仿宋"/>
                <w:b/>
                <w:color w:val="auto"/>
                <w:kern w:val="0"/>
                <w:sz w:val="21"/>
                <w:szCs w:val="21"/>
                <w:highlight w:val="none"/>
                <w:lang w:val="en-US" w:eastAsia="zh-CN" w:bidi="ar-SA"/>
              </w:rPr>
              <w:t>合计（元）</w:t>
            </w:r>
          </w:p>
        </w:tc>
      </w:tr>
      <w:tr w14:paraId="33CDB0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18A7D073">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5BC139CE">
            <w:pPr>
              <w:pStyle w:val="2"/>
              <w:spacing w:before="0" w:after="0" w:line="360" w:lineRule="auto"/>
              <w:rPr>
                <w:rFonts w:hint="default" w:ascii="仿宋" w:hAnsi="仿宋" w:eastAsia="仿宋" w:cs="仿宋"/>
                <w:color w:val="auto"/>
                <w:sz w:val="24"/>
                <w:szCs w:val="24"/>
                <w:highlight w:val="none"/>
                <w:lang w:val="en-US" w:eastAsia="zh-CN"/>
              </w:rPr>
            </w:pPr>
          </w:p>
        </w:tc>
        <w:tc>
          <w:tcPr>
            <w:tcW w:w="1234" w:type="dxa"/>
            <w:noWrap w:val="0"/>
            <w:vAlign w:val="top"/>
          </w:tcPr>
          <w:p w14:paraId="4674FCBF">
            <w:pPr>
              <w:pStyle w:val="2"/>
              <w:spacing w:before="0" w:after="0" w:line="360" w:lineRule="auto"/>
              <w:rPr>
                <w:rFonts w:hint="default" w:ascii="仿宋" w:hAnsi="仿宋" w:eastAsia="仿宋" w:cs="仿宋"/>
                <w:color w:val="auto"/>
                <w:sz w:val="24"/>
                <w:szCs w:val="24"/>
                <w:highlight w:val="none"/>
                <w:lang w:val="en-US" w:eastAsia="zh-CN"/>
              </w:rPr>
            </w:pPr>
          </w:p>
        </w:tc>
        <w:tc>
          <w:tcPr>
            <w:tcW w:w="1673" w:type="dxa"/>
            <w:noWrap w:val="0"/>
            <w:vAlign w:val="top"/>
          </w:tcPr>
          <w:p w14:paraId="138FFE0D">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71D604F4">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002E268F">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03BB2DC8">
            <w:pPr>
              <w:pStyle w:val="2"/>
              <w:spacing w:before="0" w:after="0" w:line="360" w:lineRule="auto"/>
              <w:rPr>
                <w:rFonts w:hint="eastAsia" w:ascii="仿宋" w:hAnsi="仿宋" w:eastAsia="仿宋" w:cs="仿宋"/>
                <w:color w:val="auto"/>
                <w:sz w:val="24"/>
                <w:szCs w:val="24"/>
                <w:highlight w:val="none"/>
              </w:rPr>
            </w:pPr>
          </w:p>
        </w:tc>
      </w:tr>
      <w:tr w14:paraId="01FA64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0D3B7180">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40BC33DF">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32D6B09A">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002915A6">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01E6CA">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2D57993A">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48C09117">
            <w:pPr>
              <w:pStyle w:val="2"/>
              <w:spacing w:before="0" w:after="0" w:line="360" w:lineRule="auto"/>
              <w:rPr>
                <w:rFonts w:hint="eastAsia" w:ascii="仿宋" w:hAnsi="仿宋" w:eastAsia="仿宋" w:cs="仿宋"/>
                <w:color w:val="auto"/>
                <w:sz w:val="24"/>
                <w:szCs w:val="24"/>
                <w:highlight w:val="none"/>
              </w:rPr>
            </w:pPr>
          </w:p>
        </w:tc>
      </w:tr>
      <w:tr w14:paraId="7E97AE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696BFF26">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717908F8">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715CE2D8">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4BE99668">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C26B0D4">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4370F786">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6504A475">
            <w:pPr>
              <w:pStyle w:val="2"/>
              <w:spacing w:before="0" w:after="0" w:line="360" w:lineRule="auto"/>
              <w:rPr>
                <w:rFonts w:hint="eastAsia" w:ascii="仿宋" w:hAnsi="仿宋" w:eastAsia="仿宋" w:cs="仿宋"/>
                <w:color w:val="auto"/>
                <w:sz w:val="24"/>
                <w:szCs w:val="24"/>
                <w:highlight w:val="none"/>
              </w:rPr>
            </w:pPr>
          </w:p>
        </w:tc>
      </w:tr>
      <w:tr w14:paraId="5775EE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241197B1">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1B39F261">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3EB864EE">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52C44242">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425E617D">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050E39E8">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0652A6DC">
            <w:pPr>
              <w:pStyle w:val="2"/>
              <w:spacing w:before="0" w:after="0" w:line="360" w:lineRule="auto"/>
              <w:rPr>
                <w:rFonts w:hint="eastAsia" w:ascii="仿宋" w:hAnsi="仿宋" w:eastAsia="仿宋" w:cs="仿宋"/>
                <w:color w:val="auto"/>
                <w:sz w:val="24"/>
                <w:szCs w:val="24"/>
                <w:highlight w:val="none"/>
              </w:rPr>
            </w:pPr>
          </w:p>
        </w:tc>
      </w:tr>
      <w:tr w14:paraId="39C850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164F8D66">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752D1706">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2D27AC47">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498CC02A">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4BED1E">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27B261CE">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3153456A">
            <w:pPr>
              <w:pStyle w:val="2"/>
              <w:spacing w:before="0" w:after="0" w:line="360" w:lineRule="auto"/>
              <w:rPr>
                <w:rFonts w:hint="eastAsia" w:ascii="仿宋" w:hAnsi="仿宋" w:eastAsia="仿宋" w:cs="仿宋"/>
                <w:color w:val="auto"/>
                <w:sz w:val="24"/>
                <w:szCs w:val="24"/>
                <w:highlight w:val="none"/>
              </w:rPr>
            </w:pPr>
          </w:p>
        </w:tc>
      </w:tr>
      <w:tr w14:paraId="569C60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0A330A93">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30C3C2C1">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2DCE09E8">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7F0A52C6">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13AC5D">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6B34230C">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4CEA01A0">
            <w:pPr>
              <w:pStyle w:val="2"/>
              <w:spacing w:before="0" w:after="0" w:line="360" w:lineRule="auto"/>
              <w:rPr>
                <w:rFonts w:hint="eastAsia" w:ascii="仿宋" w:hAnsi="仿宋" w:eastAsia="仿宋" w:cs="仿宋"/>
                <w:color w:val="auto"/>
                <w:sz w:val="24"/>
                <w:szCs w:val="24"/>
                <w:highlight w:val="none"/>
              </w:rPr>
            </w:pPr>
          </w:p>
        </w:tc>
      </w:tr>
      <w:tr w14:paraId="2ABCC3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1971E48C">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3CB198C6">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6AE27BCE">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16CDB1EF">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5037BB1A">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547C3B27">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0948443F">
            <w:pPr>
              <w:pStyle w:val="2"/>
              <w:spacing w:before="0" w:after="0" w:line="360" w:lineRule="auto"/>
              <w:rPr>
                <w:rFonts w:hint="eastAsia" w:ascii="仿宋" w:hAnsi="仿宋" w:eastAsia="仿宋" w:cs="仿宋"/>
                <w:color w:val="auto"/>
                <w:sz w:val="24"/>
                <w:szCs w:val="24"/>
                <w:highlight w:val="none"/>
              </w:rPr>
            </w:pPr>
          </w:p>
        </w:tc>
      </w:tr>
      <w:tr w14:paraId="1E5F44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40" w:type="dxa"/>
            <w:noWrap w:val="0"/>
            <w:vAlign w:val="top"/>
          </w:tcPr>
          <w:p w14:paraId="6C4EE7F8">
            <w:pPr>
              <w:pStyle w:val="2"/>
              <w:spacing w:before="0" w:after="0" w:line="360" w:lineRule="auto"/>
              <w:rPr>
                <w:rFonts w:hint="eastAsia" w:ascii="仿宋" w:hAnsi="仿宋" w:eastAsia="仿宋" w:cs="仿宋"/>
                <w:color w:val="auto"/>
                <w:sz w:val="24"/>
                <w:szCs w:val="24"/>
                <w:highlight w:val="none"/>
              </w:rPr>
            </w:pPr>
          </w:p>
        </w:tc>
        <w:tc>
          <w:tcPr>
            <w:tcW w:w="1836" w:type="dxa"/>
            <w:noWrap w:val="0"/>
            <w:vAlign w:val="top"/>
          </w:tcPr>
          <w:p w14:paraId="51938FE3">
            <w:pPr>
              <w:pStyle w:val="2"/>
              <w:spacing w:before="0" w:after="0" w:line="360" w:lineRule="auto"/>
              <w:rPr>
                <w:rFonts w:hint="eastAsia" w:ascii="仿宋" w:hAnsi="仿宋" w:eastAsia="仿宋" w:cs="仿宋"/>
                <w:color w:val="auto"/>
                <w:sz w:val="24"/>
                <w:szCs w:val="24"/>
                <w:highlight w:val="none"/>
              </w:rPr>
            </w:pPr>
          </w:p>
        </w:tc>
        <w:tc>
          <w:tcPr>
            <w:tcW w:w="1234" w:type="dxa"/>
            <w:noWrap w:val="0"/>
            <w:vAlign w:val="top"/>
          </w:tcPr>
          <w:p w14:paraId="729D4856">
            <w:pPr>
              <w:pStyle w:val="2"/>
              <w:spacing w:before="0" w:after="0" w:line="360" w:lineRule="auto"/>
              <w:rPr>
                <w:rFonts w:hint="eastAsia" w:ascii="仿宋" w:hAnsi="仿宋" w:eastAsia="仿宋" w:cs="仿宋"/>
                <w:color w:val="auto"/>
                <w:sz w:val="24"/>
                <w:szCs w:val="24"/>
                <w:highlight w:val="none"/>
              </w:rPr>
            </w:pPr>
          </w:p>
        </w:tc>
        <w:tc>
          <w:tcPr>
            <w:tcW w:w="1673" w:type="dxa"/>
            <w:noWrap w:val="0"/>
            <w:vAlign w:val="top"/>
          </w:tcPr>
          <w:p w14:paraId="626E962D">
            <w:pPr>
              <w:pStyle w:val="2"/>
              <w:spacing w:before="0" w:after="0" w:line="360" w:lineRule="auto"/>
              <w:rPr>
                <w:rFonts w:hint="eastAsia" w:ascii="仿宋" w:hAnsi="仿宋" w:eastAsia="仿宋" w:cs="仿宋"/>
                <w:color w:val="auto"/>
                <w:sz w:val="24"/>
                <w:szCs w:val="24"/>
                <w:highlight w:val="none"/>
              </w:rPr>
            </w:pPr>
          </w:p>
        </w:tc>
        <w:tc>
          <w:tcPr>
            <w:tcW w:w="1793" w:type="dxa"/>
            <w:noWrap w:val="0"/>
            <w:vAlign w:val="top"/>
          </w:tcPr>
          <w:p w14:paraId="07E9AC44">
            <w:pPr>
              <w:pStyle w:val="2"/>
              <w:spacing w:before="0" w:after="0" w:line="360" w:lineRule="auto"/>
              <w:rPr>
                <w:rFonts w:hint="eastAsia" w:ascii="仿宋" w:hAnsi="仿宋" w:eastAsia="仿宋" w:cs="仿宋"/>
                <w:color w:val="auto"/>
                <w:sz w:val="24"/>
                <w:szCs w:val="24"/>
                <w:highlight w:val="none"/>
              </w:rPr>
            </w:pPr>
          </w:p>
        </w:tc>
        <w:tc>
          <w:tcPr>
            <w:tcW w:w="1043" w:type="dxa"/>
            <w:noWrap w:val="0"/>
            <w:vAlign w:val="top"/>
          </w:tcPr>
          <w:p w14:paraId="665A1927">
            <w:pPr>
              <w:pStyle w:val="2"/>
              <w:spacing w:before="0" w:after="0" w:line="360" w:lineRule="auto"/>
              <w:rPr>
                <w:rFonts w:hint="eastAsia" w:ascii="仿宋" w:hAnsi="仿宋" w:eastAsia="仿宋" w:cs="仿宋"/>
                <w:color w:val="auto"/>
                <w:sz w:val="24"/>
                <w:szCs w:val="24"/>
                <w:highlight w:val="none"/>
              </w:rPr>
            </w:pPr>
          </w:p>
        </w:tc>
        <w:tc>
          <w:tcPr>
            <w:tcW w:w="1057" w:type="dxa"/>
            <w:noWrap w:val="0"/>
            <w:vAlign w:val="top"/>
          </w:tcPr>
          <w:p w14:paraId="7C177AC1">
            <w:pPr>
              <w:pStyle w:val="2"/>
              <w:spacing w:before="0" w:after="0" w:line="360" w:lineRule="auto"/>
              <w:rPr>
                <w:rFonts w:hint="eastAsia" w:ascii="仿宋" w:hAnsi="仿宋" w:eastAsia="仿宋" w:cs="仿宋"/>
                <w:color w:val="auto"/>
                <w:sz w:val="24"/>
                <w:szCs w:val="24"/>
                <w:highlight w:val="none"/>
              </w:rPr>
            </w:pPr>
          </w:p>
        </w:tc>
      </w:tr>
      <w:tr w14:paraId="12A3FD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840" w:type="dxa"/>
            <w:noWrap w:val="0"/>
            <w:vAlign w:val="top"/>
          </w:tcPr>
          <w:p w14:paraId="1047A492">
            <w:pPr>
              <w:pStyle w:val="2"/>
              <w:spacing w:before="0" w:after="0" w:line="360" w:lineRule="auto"/>
              <w:rPr>
                <w:rFonts w:hint="eastAsia" w:ascii="仿宋" w:hAnsi="仿宋" w:eastAsia="仿宋" w:cs="仿宋"/>
                <w:color w:val="auto"/>
                <w:sz w:val="24"/>
                <w:szCs w:val="24"/>
                <w:highlight w:val="none"/>
              </w:rPr>
            </w:pPr>
          </w:p>
        </w:tc>
        <w:tc>
          <w:tcPr>
            <w:tcW w:w="8636" w:type="dxa"/>
            <w:gridSpan w:val="6"/>
            <w:noWrap w:val="0"/>
            <w:vAlign w:val="center"/>
          </w:tcPr>
          <w:p w14:paraId="10ED16E3">
            <w:pPr>
              <w:pStyle w:val="2"/>
              <w:spacing w:before="0" w:after="0" w:line="240" w:lineRule="auto"/>
              <w:ind w:firstLine="308" w:firstLineChars="147"/>
              <w:rPr>
                <w:rFonts w:hint="default" w:ascii="仿宋" w:hAnsi="仿宋" w:eastAsia="仿宋" w:cs="仿宋"/>
                <w:color w:val="auto"/>
                <w:sz w:val="21"/>
                <w:szCs w:val="21"/>
                <w:highlight w:val="none"/>
                <w:lang w:val="en-US" w:eastAsia="zh-CN"/>
              </w:rPr>
            </w:pPr>
            <w:bookmarkStart w:id="0" w:name="_Toc980"/>
            <w:r>
              <w:rPr>
                <w:rFonts w:hint="eastAsia" w:ascii="仿宋" w:hAnsi="仿宋" w:eastAsia="仿宋" w:cs="仿宋"/>
                <w:color w:val="auto"/>
                <w:sz w:val="21"/>
                <w:szCs w:val="21"/>
                <w:highlight w:val="none"/>
              </w:rPr>
              <w:t>合计</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大写</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rPr>
              <w:t>￥</w:t>
            </w:r>
            <w:bookmarkEnd w:id="0"/>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val="en-US" w:eastAsia="zh-CN"/>
              </w:rPr>
              <w:t xml:space="preserve"> </w:t>
            </w:r>
          </w:p>
        </w:tc>
      </w:tr>
    </w:tbl>
    <w:p w14:paraId="7FAEA8CA">
      <w:pPr>
        <w:pStyle w:val="8"/>
        <w:spacing w:before="120" w:beforeLines="50" w:line="360" w:lineRule="auto"/>
        <w:ind w:firstLine="360" w:firstLineChars="15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第二条 合同价款</w:t>
      </w:r>
    </w:p>
    <w:p w14:paraId="3B55B309">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1" w:name="_Toc32180"/>
      <w:r>
        <w:rPr>
          <w:rFonts w:hint="eastAsia" w:ascii="仿宋" w:hAnsi="仿宋" w:eastAsia="仿宋" w:cs="仿宋"/>
          <w:b w:val="0"/>
          <w:color w:val="auto"/>
          <w:sz w:val="24"/>
          <w:szCs w:val="24"/>
          <w:highlight w:val="none"/>
        </w:rPr>
        <w:t>1.合同总价：人民币（大写）</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元，（￥</w:t>
      </w:r>
      <w:r>
        <w:rPr>
          <w:rFonts w:hint="eastAsia" w:ascii="仿宋" w:hAnsi="仿宋" w:eastAsia="仿宋" w:cs="仿宋"/>
          <w:b w:val="0"/>
          <w:color w:val="auto"/>
          <w:sz w:val="24"/>
          <w:szCs w:val="24"/>
          <w:highlight w:val="none"/>
          <w:u w:val="single"/>
        </w:rPr>
        <w:t xml:space="preserve">           </w:t>
      </w:r>
      <w:r>
        <w:rPr>
          <w:rFonts w:hint="eastAsia" w:ascii="仿宋" w:hAnsi="仿宋" w:eastAsia="仿宋" w:cs="仿宋"/>
          <w:b w:val="0"/>
          <w:color w:val="auto"/>
          <w:sz w:val="24"/>
          <w:szCs w:val="24"/>
          <w:highlight w:val="none"/>
        </w:rPr>
        <w:t xml:space="preserve"> ）。</w:t>
      </w:r>
      <w:bookmarkEnd w:id="1"/>
    </w:p>
    <w:p w14:paraId="6B29D6BA">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2" w:name="_Toc6248"/>
      <w:r>
        <w:rPr>
          <w:rFonts w:hint="eastAsia" w:ascii="仿宋" w:hAnsi="仿宋" w:eastAsia="仿宋" w:cs="仿宋"/>
          <w:b w:val="0"/>
          <w:color w:val="auto"/>
          <w:sz w:val="24"/>
          <w:szCs w:val="24"/>
          <w:highlight w:val="none"/>
        </w:rPr>
        <w:t>2.本合同总价是货物（产品）设计、材料、制造、包装、运输、安装、调试、检测、验收合格交付使用之前及保修期内保修服务与备用物件等其他有关各项的含税费用。</w:t>
      </w:r>
      <w:bookmarkEnd w:id="2"/>
    </w:p>
    <w:p w14:paraId="647E7B36">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3" w:name="_Toc8515"/>
      <w:r>
        <w:rPr>
          <w:rFonts w:hint="eastAsia" w:ascii="仿宋" w:hAnsi="仿宋" w:eastAsia="仿宋" w:cs="仿宋"/>
          <w:b w:val="0"/>
          <w:color w:val="auto"/>
          <w:sz w:val="24"/>
          <w:szCs w:val="24"/>
          <w:highlight w:val="none"/>
        </w:rPr>
        <w:t>3.本合同总价还包含乙方应当提供的伴随服务和售后服务费用。</w:t>
      </w:r>
      <w:bookmarkEnd w:id="3"/>
    </w:p>
    <w:p w14:paraId="57C6A4AE">
      <w:pPr>
        <w:pStyle w:val="2"/>
        <w:spacing w:before="0" w:after="0" w:line="360" w:lineRule="auto"/>
        <w:ind w:firstLine="590" w:firstLineChars="246"/>
        <w:jc w:val="left"/>
        <w:rPr>
          <w:rFonts w:hint="eastAsia" w:ascii="仿宋" w:hAnsi="仿宋" w:eastAsia="仿宋" w:cs="仿宋"/>
          <w:b w:val="0"/>
          <w:color w:val="auto"/>
          <w:sz w:val="24"/>
          <w:szCs w:val="24"/>
          <w:highlight w:val="none"/>
        </w:rPr>
      </w:pPr>
      <w:bookmarkStart w:id="4" w:name="_Toc26115"/>
      <w:r>
        <w:rPr>
          <w:rFonts w:hint="eastAsia" w:ascii="仿宋" w:hAnsi="仿宋" w:eastAsia="仿宋" w:cs="仿宋"/>
          <w:b w:val="0"/>
          <w:color w:val="auto"/>
          <w:sz w:val="24"/>
          <w:szCs w:val="24"/>
          <w:highlight w:val="none"/>
        </w:rPr>
        <w:t>4.本合同执行期间合同总价不变，甲方无须另向乙方支付本合同规定之外的其他任何费用。</w:t>
      </w:r>
      <w:bookmarkEnd w:id="4"/>
    </w:p>
    <w:p w14:paraId="031444BA">
      <w:pPr>
        <w:pStyle w:val="8"/>
        <w:spacing w:before="120" w:beforeLines="50" w:line="360" w:lineRule="auto"/>
        <w:ind w:firstLine="360" w:firstLineChars="15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第三条 货款支付</w:t>
      </w:r>
    </w:p>
    <w:p w14:paraId="1AF00D36">
      <w:pPr>
        <w:wordWrap w:val="0"/>
        <w:spacing w:line="600" w:lineRule="exact"/>
        <w:ind w:firstLine="480" w:firstLineChars="200"/>
        <w:rPr>
          <w:rFonts w:hint="eastAsia" w:ascii="仿宋" w:hAnsi="仿宋" w:eastAsia="仿宋" w:cs="仿宋"/>
          <w:b w:val="0"/>
          <w:color w:val="auto"/>
          <w:sz w:val="24"/>
          <w:szCs w:val="24"/>
          <w:highlight w:val="none"/>
          <w:lang w:eastAsia="zh-CN"/>
        </w:rPr>
      </w:pPr>
      <w:r>
        <w:rPr>
          <w:rFonts w:hint="eastAsia" w:ascii="仿宋" w:hAnsi="仿宋" w:eastAsia="仿宋" w:cs="仿宋"/>
          <w:b/>
          <w:bCs/>
          <w:color w:val="auto"/>
          <w:kern w:val="2"/>
          <w:sz w:val="24"/>
          <w:szCs w:val="24"/>
          <w:highlight w:val="none"/>
          <w:lang w:val="en-US" w:eastAsia="zh-CN" w:bidi="ar-SA"/>
        </w:rPr>
        <w:t>1.付</w:t>
      </w:r>
      <w:r>
        <w:rPr>
          <w:rFonts w:hint="eastAsia" w:ascii="仿宋" w:hAnsi="仿宋" w:eastAsia="仿宋" w:cs="仿宋"/>
          <w:b/>
          <w:color w:val="auto"/>
          <w:kern w:val="2"/>
          <w:sz w:val="24"/>
          <w:szCs w:val="24"/>
          <w:highlight w:val="none"/>
          <w:lang w:val="en-US" w:eastAsia="zh-CN" w:bidi="ar-SA"/>
        </w:rPr>
        <w:t>款比例</w:t>
      </w:r>
      <w:r>
        <w:rPr>
          <w:rFonts w:hint="eastAsia" w:ascii="仿宋" w:hAnsi="仿宋" w:eastAsia="仿宋" w:cs="仿宋"/>
          <w:color w:val="auto"/>
          <w:kern w:val="2"/>
          <w:sz w:val="24"/>
          <w:szCs w:val="24"/>
          <w:highlight w:val="none"/>
          <w:lang w:val="en-US" w:eastAsia="zh-CN" w:bidi="ar-SA"/>
        </w:rPr>
        <w:t>：:签订合同后，达到付款条件起15日内，支付合同总金额的40%，交货验收后，达到付款条件起15日内，支付合同总金额的60%</w:t>
      </w:r>
      <w:r>
        <w:rPr>
          <w:rFonts w:hint="eastAsia" w:ascii="仿宋" w:hAnsi="仿宋" w:eastAsia="仿宋" w:cs="仿宋"/>
          <w:b w:val="0"/>
          <w:color w:val="auto"/>
          <w:sz w:val="24"/>
          <w:szCs w:val="24"/>
          <w:highlight w:val="none"/>
          <w:lang w:eastAsia="zh-CN"/>
        </w:rPr>
        <w:t>。</w:t>
      </w:r>
    </w:p>
    <w:p w14:paraId="08804BA4">
      <w:pPr>
        <w:pStyle w:val="2"/>
        <w:pageBreakBefore w:val="0"/>
        <w:widowControl w:val="0"/>
        <w:kinsoku/>
        <w:wordWrap/>
        <w:overflowPunct/>
        <w:topLinePunct w:val="0"/>
        <w:autoSpaceDE/>
        <w:bidi w:val="0"/>
        <w:adjustRightInd w:val="0"/>
        <w:snapToGrid w:val="0"/>
        <w:spacing w:before="164" w:beforeLines="50" w:after="0" w:line="360" w:lineRule="auto"/>
        <w:ind w:firstLine="590" w:firstLineChars="246"/>
        <w:jc w:val="left"/>
        <w:textAlignment w:val="auto"/>
        <w:rPr>
          <w:rFonts w:hint="eastAsia" w:ascii="仿宋" w:hAnsi="仿宋" w:eastAsia="仿宋" w:cs="仿宋"/>
          <w:b w:val="0"/>
          <w:color w:val="auto"/>
          <w:sz w:val="24"/>
          <w:szCs w:val="24"/>
          <w:highlight w:val="none"/>
        </w:rPr>
      </w:pPr>
      <w:bookmarkStart w:id="5" w:name="_Toc31549"/>
      <w:r>
        <w:rPr>
          <w:rFonts w:hint="eastAsia" w:ascii="仿宋" w:hAnsi="仿宋" w:eastAsia="仿宋" w:cs="仿宋"/>
          <w:b w:val="0"/>
          <w:color w:val="auto"/>
          <w:sz w:val="24"/>
          <w:szCs w:val="24"/>
          <w:highlight w:val="none"/>
          <w:lang w:val="en-US" w:eastAsia="zh-CN"/>
        </w:rPr>
        <w:t>2</w:t>
      </w:r>
      <w:r>
        <w:rPr>
          <w:rFonts w:hint="eastAsia" w:ascii="仿宋" w:hAnsi="仿宋" w:eastAsia="仿宋" w:cs="仿宋"/>
          <w:b w:val="0"/>
          <w:color w:val="auto"/>
          <w:sz w:val="24"/>
          <w:szCs w:val="24"/>
          <w:highlight w:val="none"/>
        </w:rPr>
        <w:t>.</w:t>
      </w:r>
      <w:r>
        <w:rPr>
          <w:rFonts w:hint="eastAsia" w:ascii="仿宋" w:hAnsi="仿宋" w:eastAsia="仿宋" w:cs="仿宋"/>
          <w:b w:val="0"/>
          <w:color w:val="auto"/>
          <w:sz w:val="24"/>
          <w:szCs w:val="24"/>
          <w:highlight w:val="none"/>
          <w:lang w:val="en-US" w:eastAsia="zh-CN"/>
        </w:rPr>
        <w:t>供应商</w:t>
      </w:r>
      <w:r>
        <w:rPr>
          <w:rFonts w:hint="eastAsia" w:ascii="仿宋" w:hAnsi="仿宋" w:eastAsia="仿宋" w:cs="仿宋"/>
          <w:b w:val="0"/>
          <w:color w:val="auto"/>
          <w:sz w:val="24"/>
          <w:szCs w:val="24"/>
          <w:highlight w:val="none"/>
        </w:rPr>
        <w:t>须向</w:t>
      </w:r>
      <w:r>
        <w:rPr>
          <w:rFonts w:hint="eastAsia" w:ascii="仿宋" w:hAnsi="仿宋" w:eastAsia="仿宋" w:cs="仿宋"/>
          <w:b w:val="0"/>
          <w:color w:val="auto"/>
          <w:sz w:val="24"/>
          <w:szCs w:val="24"/>
          <w:highlight w:val="none"/>
          <w:lang w:val="en-US" w:eastAsia="zh-CN"/>
        </w:rPr>
        <w:t>采购人</w:t>
      </w:r>
      <w:r>
        <w:rPr>
          <w:rFonts w:hint="eastAsia" w:ascii="仿宋" w:hAnsi="仿宋" w:eastAsia="仿宋" w:cs="仿宋"/>
          <w:b w:val="0"/>
          <w:color w:val="auto"/>
          <w:sz w:val="24"/>
          <w:szCs w:val="24"/>
          <w:highlight w:val="none"/>
        </w:rPr>
        <w:t>出具合法有效的完税发票，</w:t>
      </w:r>
      <w:r>
        <w:rPr>
          <w:rFonts w:hint="eastAsia" w:ascii="仿宋" w:hAnsi="仿宋" w:eastAsia="仿宋" w:cs="仿宋"/>
          <w:b w:val="0"/>
          <w:color w:val="auto"/>
          <w:sz w:val="24"/>
          <w:szCs w:val="24"/>
          <w:highlight w:val="none"/>
          <w:lang w:val="en-US" w:eastAsia="zh-CN"/>
        </w:rPr>
        <w:t>采购人</w:t>
      </w:r>
      <w:r>
        <w:rPr>
          <w:rFonts w:hint="eastAsia" w:ascii="仿宋" w:hAnsi="仿宋" w:eastAsia="仿宋" w:cs="仿宋"/>
          <w:b w:val="0"/>
          <w:color w:val="auto"/>
          <w:sz w:val="24"/>
          <w:szCs w:val="24"/>
          <w:highlight w:val="none"/>
        </w:rPr>
        <w:t>进行支付结算。</w:t>
      </w:r>
      <w:bookmarkEnd w:id="5"/>
    </w:p>
    <w:p w14:paraId="2AA58D52">
      <w:pPr>
        <w:pStyle w:val="2"/>
        <w:pageBreakBefore w:val="0"/>
        <w:widowControl w:val="0"/>
        <w:kinsoku/>
        <w:wordWrap/>
        <w:overflowPunct/>
        <w:topLinePunct w:val="0"/>
        <w:autoSpaceDE/>
        <w:bidi w:val="0"/>
        <w:adjustRightInd w:val="0"/>
        <w:snapToGrid w:val="0"/>
        <w:spacing w:before="164" w:beforeLines="50" w:after="0" w:line="360" w:lineRule="auto"/>
        <w:ind w:firstLine="590" w:firstLineChars="246"/>
        <w:jc w:val="left"/>
        <w:textAlignment w:val="auto"/>
        <w:rPr>
          <w:rFonts w:hint="eastAsia" w:ascii="仿宋" w:hAnsi="仿宋" w:eastAsia="仿宋" w:cs="仿宋"/>
          <w:b w:val="0"/>
          <w:color w:val="auto"/>
          <w:sz w:val="24"/>
          <w:szCs w:val="24"/>
          <w:highlight w:val="none"/>
          <w:lang w:val="zh-CN"/>
        </w:rPr>
      </w:pPr>
      <w:bookmarkStart w:id="6" w:name="_Toc19662"/>
      <w:r>
        <w:rPr>
          <w:rFonts w:hint="eastAsia" w:ascii="仿宋" w:hAnsi="仿宋" w:eastAsia="仿宋" w:cs="仿宋"/>
          <w:b w:val="0"/>
          <w:color w:val="auto"/>
          <w:sz w:val="24"/>
          <w:szCs w:val="24"/>
          <w:highlight w:val="none"/>
          <w:lang w:val="en-US" w:eastAsia="zh-CN"/>
        </w:rPr>
        <w:t>3</w:t>
      </w:r>
      <w:r>
        <w:rPr>
          <w:rFonts w:hint="eastAsia" w:ascii="仿宋" w:hAnsi="仿宋" w:eastAsia="仿宋" w:cs="仿宋"/>
          <w:b w:val="0"/>
          <w:color w:val="auto"/>
          <w:sz w:val="24"/>
          <w:szCs w:val="24"/>
          <w:highlight w:val="none"/>
        </w:rPr>
        <w:t>.结算方式：银行转账。</w:t>
      </w:r>
      <w:bookmarkEnd w:id="6"/>
    </w:p>
    <w:p w14:paraId="62E85762">
      <w:pPr>
        <w:pStyle w:val="8"/>
        <w:spacing w:before="120" w:beforeLines="50" w:after="120" w:afterLines="50" w:line="360" w:lineRule="auto"/>
        <w:ind w:firstLine="398" w:firstLineChars="16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第四条 交货时间与地点</w:t>
      </w:r>
    </w:p>
    <w:p w14:paraId="2ADC3591">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 xml:space="preserve"> 乙方在合同签订生效之日起，按甲方指定时间、地点交货。</w:t>
      </w:r>
    </w:p>
    <w:p w14:paraId="04CFFAD9">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1.交货期：20日历天</w:t>
      </w:r>
    </w:p>
    <w:p w14:paraId="31ACFC0E">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2.交货地点：采购人指定地点</w:t>
      </w:r>
      <w:r>
        <w:rPr>
          <w:rFonts w:hint="eastAsia" w:ascii="仿宋" w:hAnsi="仿宋" w:eastAsia="仿宋" w:cs="仿宋"/>
          <w:b w:val="0"/>
          <w:color w:val="auto"/>
          <w:kern w:val="0"/>
          <w:sz w:val="24"/>
          <w:szCs w:val="24"/>
          <w:highlight w:val="none"/>
          <w:lang w:val="en-US" w:eastAsia="zh-CN" w:bidi="ar-SA"/>
        </w:rPr>
        <w:tab/>
      </w:r>
    </w:p>
    <w:p w14:paraId="315422A7">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3.质量标准：符合国家相关验收规范“合格”标准</w:t>
      </w:r>
    </w:p>
    <w:p w14:paraId="3751CA1A">
      <w:pPr>
        <w:pStyle w:val="8"/>
        <w:spacing w:before="120" w:beforeLines="50" w:after="120" w:afterLines="50" w:line="360" w:lineRule="auto"/>
        <w:ind w:firstLine="398" w:firstLineChars="166"/>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b w:val="0"/>
          <w:color w:val="auto"/>
          <w:kern w:val="0"/>
          <w:sz w:val="24"/>
          <w:szCs w:val="24"/>
          <w:highlight w:val="none"/>
          <w:lang w:val="en-US" w:eastAsia="zh-CN" w:bidi="ar-SA"/>
        </w:rPr>
        <w:t>4.质保期：到货验收合格之日起12个月</w:t>
      </w:r>
    </w:p>
    <w:p w14:paraId="5E0E1695">
      <w:pPr>
        <w:pStyle w:val="8"/>
        <w:spacing w:before="120" w:beforeLines="50" w:after="120" w:afterLines="50" w:line="360" w:lineRule="auto"/>
        <w:ind w:firstLine="398" w:firstLineChars="16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第五条 质量保证</w:t>
      </w:r>
    </w:p>
    <w:p w14:paraId="504CD995">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1.乙方须提供全新的、未使用过的合格正品货物（含零部件、配件等），完全符合合同规定的质量、规格和性能的要求。</w:t>
      </w:r>
    </w:p>
    <w:p w14:paraId="3DFE04DB">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.质量标准按照最新颁布的国家标准、行业标准或制造商企业标准确定，上述标准不一致的，以严格标准为准。</w:t>
      </w:r>
    </w:p>
    <w:p w14:paraId="7C8B9577">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.货物制造质量出现问题，乙方应负责三包（包修、包换、包退），费用由乙方负担，甲方有权到乙方生产场地检查货物质量和生产进度。</w:t>
      </w:r>
    </w:p>
    <w:p w14:paraId="07B6A9DD">
      <w:pPr>
        <w:pStyle w:val="8"/>
        <w:spacing w:before="120" w:beforeLines="50" w:after="120" w:afterLines="50" w:line="360" w:lineRule="auto"/>
        <w:ind w:firstLine="602"/>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第六条 权利保证</w:t>
      </w:r>
    </w:p>
    <w:p w14:paraId="0DAD6F45">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1.乙方保证对其出售的货物享有合法的权利。</w:t>
      </w:r>
    </w:p>
    <w:p w14:paraId="45A1ED47">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2.乙方保证对其出售的货物上不存在任何未曾向甲方透露的担保物权，如抵押权、质押权、留置权。</w:t>
      </w:r>
    </w:p>
    <w:p w14:paraId="4E43E081">
      <w:pPr>
        <w:pStyle w:val="8"/>
        <w:spacing w:line="360" w:lineRule="auto"/>
        <w:ind w:firstLine="600" w:firstLineChars="250"/>
        <w:rPr>
          <w:rFonts w:hint="eastAsia" w:ascii="仿宋" w:hAnsi="仿宋" w:eastAsia="仿宋" w:cs="仿宋"/>
          <w:color w:val="auto"/>
          <w:sz w:val="24"/>
          <w:szCs w:val="24"/>
        </w:rPr>
      </w:pPr>
      <w:r>
        <w:rPr>
          <w:rFonts w:hint="eastAsia" w:ascii="仿宋" w:hAnsi="仿宋" w:eastAsia="仿宋" w:cs="仿宋"/>
          <w:color w:val="auto"/>
          <w:sz w:val="24"/>
          <w:szCs w:val="24"/>
        </w:rPr>
        <w:t>3.乙方保证对其出售的货物或其任何一部分没有侵犯第三方的专利权、版权、商标权或其他权利。</w:t>
      </w:r>
    </w:p>
    <w:p w14:paraId="10EFA95B">
      <w:pPr>
        <w:pStyle w:val="8"/>
        <w:spacing w:line="360" w:lineRule="auto"/>
        <w:ind w:left="140" w:leftChars="67" w:firstLine="420"/>
        <w:rPr>
          <w:rFonts w:hint="eastAsia" w:ascii="仿宋" w:hAnsi="仿宋" w:eastAsia="仿宋" w:cs="仿宋"/>
          <w:b/>
          <w:color w:val="auto"/>
          <w:sz w:val="24"/>
          <w:szCs w:val="24"/>
        </w:rPr>
      </w:pPr>
      <w:r>
        <w:rPr>
          <w:rFonts w:hint="eastAsia" w:ascii="仿宋" w:hAnsi="仿宋" w:eastAsia="仿宋" w:cs="仿宋"/>
          <w:color w:val="auto"/>
          <w:sz w:val="24"/>
          <w:szCs w:val="24"/>
        </w:rPr>
        <w:t>4.如甲方在使用该货物构成上述侵权的，则由乙方承担全部责任。</w:t>
      </w:r>
    </w:p>
    <w:p w14:paraId="6241F99E">
      <w:pPr>
        <w:pStyle w:val="8"/>
        <w:spacing w:before="120" w:beforeLines="50" w:after="120" w:afterLines="50" w:line="360" w:lineRule="auto"/>
        <w:ind w:firstLine="398" w:firstLineChars="16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 xml:space="preserve">第七条 包装要求与运输方式  </w:t>
      </w:r>
      <w:r>
        <w:rPr>
          <w:rFonts w:hint="eastAsia" w:ascii="仿宋" w:hAnsi="仿宋" w:eastAsia="仿宋" w:cs="仿宋"/>
          <w:color w:val="auto"/>
          <w:sz w:val="24"/>
          <w:szCs w:val="24"/>
          <w:highlight w:val="none"/>
        </w:rPr>
        <w:t xml:space="preserve"> </w:t>
      </w:r>
    </w:p>
    <w:p w14:paraId="044718CE">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1.除合同另有规定外，乙方提供的全部货物均应按标准保护措施进行包装，该包装应适应于远距离运输、防潮、防震、防锈和防野蛮装卸，以确保货物安全运抵指定地点。</w:t>
      </w:r>
    </w:p>
    <w:p w14:paraId="48A8AADB">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2.每一包装单元应附详细的装箱单和质量合格证。</w:t>
      </w:r>
    </w:p>
    <w:p w14:paraId="67AFAA00">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3.货物（产品）运输方式：</w:t>
      </w:r>
      <w:r>
        <w:rPr>
          <w:rFonts w:hint="eastAsia" w:ascii="仿宋" w:hAnsi="仿宋" w:eastAsia="仿宋" w:cs="仿宋"/>
          <w:color w:val="auto"/>
          <w:sz w:val="24"/>
          <w:szCs w:val="24"/>
          <w:u w:val="single"/>
        </w:rPr>
        <w:t>汽车运输</w:t>
      </w:r>
      <w:r>
        <w:rPr>
          <w:rFonts w:hint="eastAsia" w:ascii="仿宋" w:hAnsi="仿宋" w:eastAsia="仿宋" w:cs="仿宋"/>
          <w:color w:val="auto"/>
          <w:sz w:val="24"/>
          <w:szCs w:val="24"/>
        </w:rPr>
        <w:t>。</w:t>
      </w:r>
    </w:p>
    <w:p w14:paraId="6888C53B">
      <w:pPr>
        <w:pStyle w:val="8"/>
        <w:spacing w:line="360" w:lineRule="auto"/>
        <w:ind w:left="140" w:leftChars="67" w:firstLine="360" w:firstLineChars="150"/>
        <w:rPr>
          <w:rFonts w:hint="eastAsia" w:ascii="仿宋" w:hAnsi="仿宋" w:eastAsia="仿宋" w:cs="仿宋"/>
          <w:color w:val="auto"/>
          <w:sz w:val="24"/>
          <w:szCs w:val="24"/>
        </w:rPr>
      </w:pPr>
      <w:r>
        <w:rPr>
          <w:rFonts w:hint="eastAsia" w:ascii="仿宋" w:hAnsi="仿宋" w:eastAsia="仿宋" w:cs="仿宋"/>
          <w:color w:val="auto"/>
          <w:sz w:val="24"/>
          <w:szCs w:val="24"/>
        </w:rPr>
        <w:t>4.乙方负责货物（产品）运输，货物运输的合理损耗及计算方法</w:t>
      </w:r>
      <w:r>
        <w:rPr>
          <w:rFonts w:hint="eastAsia" w:ascii="仿宋" w:hAnsi="仿宋" w:eastAsia="仿宋" w:cs="仿宋"/>
          <w:color w:val="auto"/>
          <w:sz w:val="24"/>
          <w:szCs w:val="24"/>
          <w:u w:val="single"/>
        </w:rPr>
        <w:t>乙方支付</w:t>
      </w:r>
      <w:r>
        <w:rPr>
          <w:rFonts w:hint="eastAsia" w:ascii="仿宋" w:hAnsi="仿宋" w:eastAsia="仿宋" w:cs="仿宋"/>
          <w:color w:val="auto"/>
          <w:sz w:val="24"/>
          <w:szCs w:val="24"/>
        </w:rPr>
        <w:t>。</w:t>
      </w:r>
    </w:p>
    <w:p w14:paraId="62B40478">
      <w:pPr>
        <w:pStyle w:val="8"/>
        <w:spacing w:before="120" w:beforeLines="50" w:after="120" w:afterLines="50" w:line="360" w:lineRule="auto"/>
        <w:ind w:firstLine="278" w:firstLineChars="11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第八条 货物验收</w:t>
      </w:r>
    </w:p>
    <w:p w14:paraId="63D8ED87">
      <w:pPr>
        <w:pStyle w:val="8"/>
        <w:spacing w:line="360" w:lineRule="auto"/>
        <w:ind w:left="140" w:leftChars="67"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1.货物验收由甲方组织，乙方配合，并按下列程序进行：</w:t>
      </w:r>
    </w:p>
    <w:p w14:paraId="776E22F7">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交货验收时，乙方须提供质检部门产品抽样检查合格的检测报告（或生产厂家自检报告）及所提供货物（产品）的合格证、装箱清单、配件、随机工具、用户使用手册（产品使用说明书）、保修卡等资料交付给甲方；</w:t>
      </w:r>
    </w:p>
    <w:p w14:paraId="7E2477CE">
      <w:pPr>
        <w:pStyle w:val="8"/>
        <w:spacing w:line="360" w:lineRule="auto"/>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（2）到货验收 ：货物到达后，按合同第一条款的货物清单和装箱单经行逐一核对，同时检查货物外观，是否有划痕或破损的，并做好相应记录；</w:t>
      </w:r>
    </w:p>
    <w:p w14:paraId="533A5BA0">
      <w:pPr>
        <w:pStyle w:val="8"/>
        <w:spacing w:line="360" w:lineRule="auto"/>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）质量验收合格，双方签署质量验收报告。</w:t>
      </w:r>
    </w:p>
    <w:p w14:paraId="0F89E887">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2.货物验收依据：</w:t>
      </w:r>
    </w:p>
    <w:p w14:paraId="036647E4">
      <w:pPr>
        <w:pStyle w:val="3"/>
        <w:spacing w:line="360" w:lineRule="auto"/>
        <w:ind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招标文件</w:t>
      </w:r>
      <w:r>
        <w:rPr>
          <w:rFonts w:hint="eastAsia" w:ascii="仿宋" w:hAnsi="仿宋" w:eastAsia="仿宋" w:cs="仿宋"/>
          <w:color w:val="auto"/>
          <w:sz w:val="24"/>
          <w:szCs w:val="24"/>
          <w:highlight w:val="none"/>
        </w:rPr>
        <w:t>；</w:t>
      </w:r>
    </w:p>
    <w:p w14:paraId="1B17E099">
      <w:pPr>
        <w:pStyle w:val="3"/>
        <w:spacing w:line="360" w:lineRule="auto"/>
        <w:ind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投标文件</w:t>
      </w:r>
      <w:r>
        <w:rPr>
          <w:rFonts w:hint="eastAsia" w:ascii="仿宋" w:hAnsi="仿宋" w:eastAsia="仿宋" w:cs="仿宋"/>
          <w:color w:val="auto"/>
          <w:sz w:val="24"/>
          <w:szCs w:val="24"/>
          <w:highlight w:val="none"/>
        </w:rPr>
        <w:t>；</w:t>
      </w:r>
    </w:p>
    <w:p w14:paraId="29254745">
      <w:pPr>
        <w:pStyle w:val="3"/>
        <w:spacing w:line="360" w:lineRule="auto"/>
        <w:ind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（3）采购合同及补充协议；</w:t>
      </w:r>
    </w:p>
    <w:p w14:paraId="4B2F8CE2">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（4）质检部门抽样检查货物（产品）合格的检测报告。</w:t>
      </w:r>
    </w:p>
    <w:p w14:paraId="6583D491">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3.货物验收时发现问题的处理办法：</w:t>
      </w:r>
    </w:p>
    <w:p w14:paraId="1CF13A70">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（1）乙方提供不符合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rPr>
        <w:t>和本合同规定的货物（产品），甲方有权拒绝接受；</w:t>
      </w:r>
    </w:p>
    <w:p w14:paraId="4C96E1C0">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2BE9474E">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（3）如货物经乙方</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次维修仍不能达到合同约定的质量标准，甲方有权退货，并视作乙方不能交付货物而须支付违约赔偿金给甲方，甲方还可依法追究乙方的违约责任； </w:t>
      </w:r>
    </w:p>
    <w:p w14:paraId="636D24A2">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（4）货物安装完成后</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7</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日内，甲方无故不进行验收工作并已使用货物的，视同已安装调试完成并验收合格；</w:t>
      </w:r>
    </w:p>
    <w:p w14:paraId="00307703">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（5）乙方不能完整交付货物及本条第一款规定的单证和工具的，必须负责补齐，否则视为未按合同约定交货；</w:t>
      </w:r>
    </w:p>
    <w:p w14:paraId="47C8DB43">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（6）超出合理磅差的处理方法：</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458F36BC">
      <w:pPr>
        <w:pStyle w:val="8"/>
        <w:spacing w:before="120" w:beforeLines="50" w:after="120" w:afterLines="50" w:line="360" w:lineRule="auto"/>
        <w:ind w:firstLine="398" w:firstLineChars="166"/>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第九条 售后服务</w:t>
      </w:r>
    </w:p>
    <w:p w14:paraId="16C9D530">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乙方应按照国家有关法律法规和“三包”规定以及</w:t>
      </w:r>
      <w:r>
        <w:rPr>
          <w:rFonts w:hint="eastAsia" w:ascii="仿宋" w:hAnsi="仿宋" w:eastAsia="仿宋" w:cs="仿宋"/>
          <w:color w:val="auto"/>
          <w:kern w:val="0"/>
          <w:sz w:val="24"/>
          <w:szCs w:val="24"/>
          <w:highlight w:val="none"/>
          <w:lang w:val="en-US" w:eastAsia="zh-CN"/>
        </w:rPr>
        <w:t>招标</w:t>
      </w:r>
      <w:r>
        <w:rPr>
          <w:rFonts w:hint="eastAsia" w:ascii="仿宋" w:hAnsi="仿宋" w:eastAsia="仿宋" w:cs="仿宋"/>
          <w:color w:val="auto"/>
          <w:kern w:val="0"/>
          <w:sz w:val="24"/>
          <w:szCs w:val="24"/>
          <w:highlight w:val="none"/>
          <w:lang w:eastAsia="zh-CN"/>
        </w:rPr>
        <w:t>文件</w:t>
      </w:r>
      <w:r>
        <w:rPr>
          <w:rFonts w:hint="eastAsia" w:ascii="仿宋" w:hAnsi="仿宋" w:eastAsia="仿宋" w:cs="仿宋"/>
          <w:color w:val="auto"/>
          <w:kern w:val="0"/>
          <w:sz w:val="24"/>
          <w:szCs w:val="24"/>
          <w:highlight w:val="none"/>
        </w:rPr>
        <w:t>要求和</w:t>
      </w:r>
      <w:r>
        <w:rPr>
          <w:rFonts w:hint="eastAsia" w:ascii="仿宋" w:hAnsi="仿宋" w:eastAsia="仿宋" w:cs="仿宋"/>
          <w:color w:val="auto"/>
          <w:kern w:val="0"/>
          <w:sz w:val="24"/>
          <w:szCs w:val="24"/>
          <w:highlight w:val="none"/>
          <w:lang w:val="en-US" w:eastAsia="zh-CN"/>
        </w:rPr>
        <w:t>投标</w:t>
      </w:r>
      <w:r>
        <w:rPr>
          <w:rFonts w:hint="eastAsia" w:ascii="仿宋" w:hAnsi="仿宋" w:eastAsia="仿宋" w:cs="仿宋"/>
          <w:color w:val="auto"/>
          <w:kern w:val="0"/>
          <w:sz w:val="24"/>
          <w:szCs w:val="24"/>
          <w:highlight w:val="none"/>
          <w:lang w:eastAsia="zh-CN"/>
        </w:rPr>
        <w:t>文件</w:t>
      </w:r>
      <w:r>
        <w:rPr>
          <w:rFonts w:hint="eastAsia" w:ascii="仿宋" w:hAnsi="仿宋" w:eastAsia="仿宋" w:cs="仿宋"/>
          <w:color w:val="auto"/>
          <w:kern w:val="0"/>
          <w:sz w:val="24"/>
          <w:szCs w:val="24"/>
          <w:highlight w:val="none"/>
        </w:rPr>
        <w:t>的“服务承诺”提供服务。</w:t>
      </w:r>
    </w:p>
    <w:p w14:paraId="4C58176B">
      <w:pPr>
        <w:pStyle w:val="8"/>
        <w:spacing w:before="120" w:beforeLines="50" w:after="120" w:afterLines="50" w:line="360" w:lineRule="auto"/>
        <w:ind w:firstLine="398" w:firstLineChars="166"/>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rPr>
        <w:t>第十条 违约责任</w:t>
      </w:r>
    </w:p>
    <w:p w14:paraId="04CDDCFD">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1.甲方违约责任</w:t>
      </w:r>
    </w:p>
    <w:p w14:paraId="14835D4B">
      <w:pPr>
        <w:pStyle w:val="8"/>
        <w:spacing w:line="360" w:lineRule="auto"/>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（1）甲方无正当理由拒收货物的，甲方应偿付合同总价</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%的违约金；</w:t>
      </w:r>
    </w:p>
    <w:p w14:paraId="098C9BCC">
      <w:pPr>
        <w:pStyle w:val="8"/>
        <w:spacing w:line="360" w:lineRule="auto"/>
        <w:ind w:firstLine="410" w:firstLineChars="17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（2）甲方逾期支付货款的，除应及时付足货款外，应向乙方每天支付欠款总额</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3</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‰的滞纳金；但累计滞纳金总额不超过欠款总额的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p>
    <w:p w14:paraId="1F0690E3">
      <w:pPr>
        <w:pStyle w:val="8"/>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2.乙方违约责任</w:t>
      </w:r>
    </w:p>
    <w:p w14:paraId="6DF891A8">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（1）如乙方不能交付货物，甲方有权</w:t>
      </w:r>
      <w:r>
        <w:rPr>
          <w:rFonts w:hint="eastAsia" w:ascii="仿宋" w:hAnsi="仿宋" w:eastAsia="仿宋" w:cs="仿宋"/>
          <w:color w:val="auto"/>
          <w:kern w:val="0"/>
          <w:sz w:val="24"/>
          <w:szCs w:val="24"/>
          <w:highlight w:val="none"/>
          <w:lang w:val="en-US" w:eastAsia="zh-CN"/>
        </w:rPr>
        <w:t>拒绝支付货款</w:t>
      </w:r>
      <w:r>
        <w:rPr>
          <w:rFonts w:hint="eastAsia" w:ascii="仿宋" w:hAnsi="仿宋" w:eastAsia="仿宋" w:cs="仿宋"/>
          <w:color w:val="auto"/>
          <w:kern w:val="0"/>
          <w:sz w:val="24"/>
          <w:szCs w:val="24"/>
          <w:highlight w:val="none"/>
        </w:rPr>
        <w:t>；同时乙方应向甲方支付合同总价</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456C20A3">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（2）乙方逾期交付货物的，每逾期1天，乙方向甲方偿付逾期交货部分货款总额的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5</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‰的滞纳金。如乙方逾期交货达</w:t>
      </w:r>
      <w:r>
        <w:rPr>
          <w:rFonts w:hint="eastAsia" w:ascii="仿宋" w:hAnsi="仿宋" w:eastAsia="仿宋" w:cs="仿宋"/>
          <w:color w:val="auto"/>
          <w:kern w:val="0"/>
          <w:sz w:val="24"/>
          <w:szCs w:val="24"/>
          <w:highlight w:val="none"/>
          <w:u w:val="single"/>
          <w:lang w:val="en-US" w:eastAsia="zh-CN"/>
        </w:rPr>
        <w:t>10</w:t>
      </w:r>
      <w:r>
        <w:rPr>
          <w:rFonts w:hint="eastAsia" w:ascii="仿宋" w:hAnsi="仿宋" w:eastAsia="仿宋" w:cs="仿宋"/>
          <w:color w:val="auto"/>
          <w:kern w:val="0"/>
          <w:sz w:val="24"/>
          <w:szCs w:val="24"/>
          <w:highlight w:val="none"/>
        </w:rPr>
        <w:t>天，甲方有权解除合同，解除合同的通知自到达乙方时生效；</w:t>
      </w:r>
    </w:p>
    <w:p w14:paraId="3FCAE164">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 xml:space="preserve">（3）乙方所交付的货物品种、型号、规格不符合合同规定的，甲方有权拒收。甲方拒收的，乙方应向甲方支付货款总额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5</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%的违约金；</w:t>
      </w:r>
    </w:p>
    <w:p w14:paraId="408AA0C4">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（4）乙方货物经甲方送交具有法定资格条件的质量技术监督机构检测后，如检测结果认定货物质量不符合本合同规定标准的，则视为乙方没有按时交货而违约，乙方须在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10</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天内无条件更换合格的货物，如逾期不能更换合格的货物，甲方有权终止本合同，乙方应另向甲方支付货款总额的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0.5</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%的违约金；</w:t>
      </w:r>
    </w:p>
    <w:p w14:paraId="4F69CC66">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715D98DE">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6</w:t>
      </w:r>
      <w:r>
        <w:rPr>
          <w:rFonts w:hint="eastAsia" w:ascii="仿宋" w:hAnsi="仿宋" w:eastAsia="仿宋" w:cs="仿宋"/>
          <w:color w:val="auto"/>
          <w:kern w:val="0"/>
          <w:sz w:val="24"/>
          <w:szCs w:val="24"/>
          <w:highlight w:val="none"/>
        </w:rPr>
        <w:t>）乙方未按本合同的规定和“服务承诺”提供伴随服务/售后服务的，应按合同总价款的</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0.3</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%向甲方</w:t>
      </w:r>
      <w:r>
        <w:rPr>
          <w:rFonts w:hint="eastAsia" w:ascii="仿宋" w:hAnsi="仿宋" w:eastAsia="仿宋" w:cs="仿宋"/>
          <w:color w:val="auto"/>
          <w:kern w:val="0"/>
          <w:sz w:val="24"/>
          <w:szCs w:val="24"/>
          <w:highlight w:val="none"/>
          <w:lang w:val="en-US" w:eastAsia="zh-CN"/>
        </w:rPr>
        <w:t>支付</w:t>
      </w:r>
      <w:r>
        <w:rPr>
          <w:rFonts w:hint="eastAsia" w:ascii="仿宋" w:hAnsi="仿宋" w:eastAsia="仿宋" w:cs="仿宋"/>
          <w:color w:val="auto"/>
          <w:kern w:val="0"/>
          <w:sz w:val="24"/>
          <w:szCs w:val="24"/>
          <w:highlight w:val="none"/>
        </w:rPr>
        <w:t>违约</w:t>
      </w:r>
      <w:r>
        <w:rPr>
          <w:rFonts w:hint="eastAsia" w:ascii="仿宋" w:hAnsi="仿宋" w:eastAsia="仿宋" w:cs="仿宋"/>
          <w:color w:val="auto"/>
          <w:kern w:val="0"/>
          <w:sz w:val="24"/>
          <w:szCs w:val="24"/>
          <w:highlight w:val="none"/>
          <w:lang w:val="en-US" w:eastAsia="zh-CN"/>
        </w:rPr>
        <w:t>金</w:t>
      </w:r>
      <w:r>
        <w:rPr>
          <w:rFonts w:hint="eastAsia" w:ascii="仿宋" w:hAnsi="仿宋" w:eastAsia="仿宋" w:cs="仿宋"/>
          <w:color w:val="auto"/>
          <w:kern w:val="0"/>
          <w:sz w:val="24"/>
          <w:szCs w:val="24"/>
          <w:highlight w:val="none"/>
        </w:rPr>
        <w:t>；</w:t>
      </w:r>
    </w:p>
    <w:p w14:paraId="161C38E8">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7</w:t>
      </w:r>
      <w:r>
        <w:rPr>
          <w:rFonts w:hint="eastAsia" w:ascii="仿宋" w:hAnsi="仿宋" w:eastAsia="仿宋" w:cs="仿宋"/>
          <w:color w:val="auto"/>
          <w:kern w:val="0"/>
          <w:sz w:val="24"/>
          <w:szCs w:val="24"/>
          <w:highlight w:val="none"/>
        </w:rPr>
        <w:t>）乙方在承担上述违约责任后，仍应继续履行合同规定的义务（甲方解除合同的除外）。甲方未能及时追究乙方的任何一项违约责任并不表明甲方放弃追究乙方该项或其他违约责任；</w:t>
      </w:r>
    </w:p>
    <w:p w14:paraId="1DAACB70">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）乙方偿付的违约金不足以弥补甲方损失的，还应按甲方损失尚未弥补的部分，支付赔偿金给甲方。</w:t>
      </w:r>
    </w:p>
    <w:p w14:paraId="6C9626D8">
      <w:pPr>
        <w:widowControl/>
        <w:spacing w:before="120" w:beforeLines="50" w:after="120" w:afterLines="50" w:line="360" w:lineRule="auto"/>
        <w:ind w:firstLine="360" w:firstLineChars="150"/>
        <w:jc w:val="left"/>
        <w:rPr>
          <w:rFonts w:hint="eastAsia" w:ascii="仿宋" w:hAnsi="仿宋" w:eastAsia="仿宋" w:cs="仿宋"/>
          <w:color w:val="auto"/>
          <w:kern w:val="0"/>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合同的变更和终止</w:t>
      </w:r>
    </w:p>
    <w:p w14:paraId="64213D78">
      <w:pPr>
        <w:widowControl/>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除《中华人民共和国政府采购法》第49条、第50条第二款规定的情形外，本合同一经签订，甲乙双方不得擅自变更、中止或终止合同。</w:t>
      </w:r>
    </w:p>
    <w:p w14:paraId="4241FFD4">
      <w:pPr>
        <w:widowControl/>
        <w:spacing w:before="120" w:beforeLines="50" w:after="120" w:afterLines="50" w:line="360" w:lineRule="auto"/>
        <w:ind w:firstLine="360" w:firstLineChars="150"/>
        <w:jc w:val="left"/>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第十</w:t>
      </w:r>
      <w:r>
        <w:rPr>
          <w:rFonts w:hint="eastAsia" w:ascii="仿宋" w:hAnsi="仿宋" w:eastAsia="仿宋" w:cs="仿宋"/>
          <w:b/>
          <w:color w:val="auto"/>
          <w:kern w:val="0"/>
          <w:sz w:val="24"/>
          <w:szCs w:val="24"/>
          <w:highlight w:val="none"/>
          <w:lang w:val="en-US" w:eastAsia="zh-CN"/>
        </w:rPr>
        <w:t>二</w:t>
      </w:r>
      <w:r>
        <w:rPr>
          <w:rFonts w:hint="eastAsia" w:ascii="仿宋" w:hAnsi="仿宋" w:eastAsia="仿宋" w:cs="仿宋"/>
          <w:b/>
          <w:color w:val="auto"/>
          <w:kern w:val="0"/>
          <w:sz w:val="24"/>
          <w:szCs w:val="24"/>
          <w:highlight w:val="none"/>
        </w:rPr>
        <w:t>条 争议的解决</w:t>
      </w:r>
    </w:p>
    <w:p w14:paraId="70E4802D">
      <w:pPr>
        <w:pStyle w:val="8"/>
        <w:spacing w:line="360" w:lineRule="auto"/>
        <w:ind w:firstLine="42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1.因货物的质量问题发生争议，由质量技术监督部门或其指定的质量鉴定机构进行质量鉴定。货物符合标准的，鉴定费由甲方承担；货物不符合质量标准的，鉴定费由乙方承担。</w:t>
      </w:r>
    </w:p>
    <w:p w14:paraId="0C7B7B65">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2.因履行本合同引起的或与本合同有关的争议，甲、乙双方应首先通过友好协商解决，如果协商不成，则采取以下第</w:t>
      </w:r>
      <w:r>
        <w:rPr>
          <w:rFonts w:hint="eastAsia" w:ascii="仿宋" w:hAnsi="仿宋" w:eastAsia="仿宋" w:cs="仿宋"/>
          <w:color w:val="auto"/>
          <w:kern w:val="0"/>
          <w:sz w:val="24"/>
          <w:szCs w:val="24"/>
          <w:highlight w:val="none"/>
          <w:u w:val="none"/>
        </w:rPr>
        <w:t>__</w:t>
      </w:r>
      <w:r>
        <w:rPr>
          <w:rFonts w:hint="eastAsia" w:ascii="仿宋" w:hAnsi="仿宋" w:eastAsia="仿宋" w:cs="仿宋"/>
          <w:color w:val="auto"/>
          <w:kern w:val="0"/>
          <w:sz w:val="24"/>
          <w:szCs w:val="24"/>
          <w:highlight w:val="none"/>
          <w:u w:val="none"/>
          <w:lang w:val="en-US" w:eastAsia="zh-CN"/>
        </w:rPr>
        <w:t>2</w:t>
      </w:r>
      <w:r>
        <w:rPr>
          <w:rFonts w:hint="eastAsia" w:ascii="仿宋" w:hAnsi="仿宋" w:eastAsia="仿宋" w:cs="仿宋"/>
          <w:color w:val="auto"/>
          <w:kern w:val="0"/>
          <w:sz w:val="24"/>
          <w:szCs w:val="24"/>
          <w:highlight w:val="none"/>
          <w:u w:val="none"/>
        </w:rPr>
        <w:t>__</w:t>
      </w:r>
      <w:r>
        <w:rPr>
          <w:rFonts w:hint="eastAsia" w:ascii="仿宋" w:hAnsi="仿宋" w:eastAsia="仿宋" w:cs="仿宋"/>
          <w:color w:val="auto"/>
          <w:kern w:val="0"/>
          <w:sz w:val="24"/>
          <w:szCs w:val="24"/>
          <w:highlight w:val="none"/>
        </w:rPr>
        <w:t>种方式解决争议：</w:t>
      </w:r>
    </w:p>
    <w:p w14:paraId="60790587">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（1）向甲方所在地有管辖权的人民法院提起诉讼；</w:t>
      </w:r>
    </w:p>
    <w:p w14:paraId="3D7A9F12">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（2）向</w:t>
      </w:r>
      <w:r>
        <w:rPr>
          <w:rFonts w:hint="eastAsia" w:ascii="仿宋" w:hAnsi="仿宋" w:eastAsia="仿宋" w:cs="仿宋"/>
          <w:color w:val="auto"/>
          <w:kern w:val="0"/>
          <w:sz w:val="24"/>
          <w:szCs w:val="24"/>
          <w:highlight w:val="none"/>
          <w:u w:val="single"/>
          <w:lang w:val="en-US" w:eastAsia="zh-CN"/>
        </w:rPr>
        <w:t>甲方所在地人民法院</w:t>
      </w:r>
      <w:r>
        <w:rPr>
          <w:rFonts w:hint="eastAsia" w:ascii="仿宋" w:hAnsi="仿宋" w:eastAsia="仿宋" w:cs="仿宋"/>
          <w:color w:val="auto"/>
          <w:kern w:val="0"/>
          <w:sz w:val="24"/>
          <w:szCs w:val="24"/>
          <w:highlight w:val="none"/>
          <w:u w:val="single"/>
        </w:rPr>
        <w:t>按</w:t>
      </w:r>
      <w:r>
        <w:rPr>
          <w:rFonts w:hint="eastAsia" w:ascii="仿宋" w:hAnsi="仿宋" w:eastAsia="仿宋" w:cs="仿宋"/>
          <w:color w:val="auto"/>
          <w:kern w:val="0"/>
          <w:sz w:val="24"/>
          <w:szCs w:val="24"/>
          <w:highlight w:val="none"/>
          <w:lang w:val="en-US" w:eastAsia="zh-CN"/>
        </w:rPr>
        <w:t>程序解决</w:t>
      </w:r>
      <w:r>
        <w:rPr>
          <w:rFonts w:hint="eastAsia" w:ascii="仿宋" w:hAnsi="仿宋" w:eastAsia="仿宋" w:cs="仿宋"/>
          <w:color w:val="auto"/>
          <w:kern w:val="0"/>
          <w:sz w:val="24"/>
          <w:szCs w:val="24"/>
          <w:highlight w:val="none"/>
        </w:rPr>
        <w:t>。</w:t>
      </w:r>
    </w:p>
    <w:p w14:paraId="312C47B5">
      <w:pPr>
        <w:pStyle w:val="8"/>
        <w:spacing w:line="360" w:lineRule="auto"/>
        <w:ind w:firstLine="42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3.在仲裁期间，本合同应继续履行。</w:t>
      </w:r>
    </w:p>
    <w:p w14:paraId="7991B3B3">
      <w:pPr>
        <w:snapToGrid w:val="0"/>
        <w:spacing w:before="120" w:beforeLines="50" w:after="120" w:afterLines="50" w:line="360" w:lineRule="auto"/>
        <w:ind w:firstLine="480" w:firstLineChars="200"/>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三</w:t>
      </w:r>
      <w:r>
        <w:rPr>
          <w:rFonts w:hint="eastAsia" w:ascii="仿宋" w:hAnsi="仿宋" w:eastAsia="仿宋" w:cs="仿宋"/>
          <w:b/>
          <w:color w:val="auto"/>
          <w:sz w:val="24"/>
          <w:szCs w:val="24"/>
          <w:highlight w:val="none"/>
        </w:rPr>
        <w:t>条</w:t>
      </w:r>
      <w:r>
        <w:rPr>
          <w:rFonts w:hint="eastAsia" w:ascii="仿宋" w:hAnsi="仿宋" w:eastAsia="仿宋" w:cs="仿宋"/>
          <w:color w:val="auto"/>
          <w:sz w:val="24"/>
          <w:szCs w:val="24"/>
          <w:highlight w:val="none"/>
        </w:rPr>
        <w:t xml:space="preserve"> </w:t>
      </w:r>
      <w:r>
        <w:rPr>
          <w:rFonts w:hint="eastAsia" w:ascii="仿宋" w:hAnsi="仿宋" w:eastAsia="仿宋" w:cs="仿宋"/>
          <w:b/>
          <w:color w:val="auto"/>
          <w:sz w:val="24"/>
          <w:szCs w:val="24"/>
          <w:highlight w:val="none"/>
        </w:rPr>
        <w:t>合同文件</w:t>
      </w:r>
    </w:p>
    <w:p w14:paraId="6A8EEE04">
      <w:pPr>
        <w:snapToGrid w:val="0"/>
        <w:spacing w:before="120" w:beforeLines="50" w:after="120" w:afterLines="50" w:line="360" w:lineRule="auto"/>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05E7C0F8">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131B0C90">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中标</w:t>
      </w:r>
      <w:bookmarkStart w:id="7" w:name="_GoBack"/>
      <w:bookmarkEnd w:id="7"/>
      <w:r>
        <w:rPr>
          <w:rFonts w:hint="eastAsia" w:ascii="仿宋" w:hAnsi="仿宋" w:eastAsia="仿宋" w:cs="仿宋"/>
          <w:color w:val="auto"/>
          <w:sz w:val="24"/>
          <w:szCs w:val="24"/>
          <w:highlight w:val="none"/>
        </w:rPr>
        <w:t>通知书</w:t>
      </w:r>
      <w:r>
        <w:rPr>
          <w:rFonts w:hint="eastAsia" w:ascii="仿宋" w:hAnsi="仿宋" w:eastAsia="仿宋" w:cs="仿宋"/>
          <w:color w:val="auto"/>
          <w:sz w:val="24"/>
          <w:szCs w:val="24"/>
          <w:highlight w:val="none"/>
        </w:rPr>
        <w:tab/>
      </w:r>
    </w:p>
    <w:p w14:paraId="74174AF0">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3.协议</w:t>
      </w:r>
    </w:p>
    <w:p w14:paraId="7019B615">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62352AFD">
      <w:pPr>
        <w:snapToGrid w:val="0"/>
        <w:spacing w:line="360" w:lineRule="auto"/>
        <w:ind w:firstLine="53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4DEE26E0">
      <w:pPr>
        <w:snapToGrid w:val="0"/>
        <w:spacing w:before="120" w:beforeLines="50" w:after="120" w:afterLines="50" w:line="360" w:lineRule="auto"/>
        <w:ind w:firstLine="360" w:firstLineChars="150"/>
        <w:rPr>
          <w:rFonts w:hint="eastAsia" w:ascii="仿宋" w:hAnsi="仿宋" w:eastAsia="仿宋" w:cs="仿宋"/>
          <w:b/>
          <w:color w:val="auto"/>
          <w:kern w:val="0"/>
          <w:sz w:val="24"/>
          <w:szCs w:val="24"/>
          <w:highlight w:val="none"/>
        </w:rPr>
      </w:pPr>
      <w:r>
        <w:rPr>
          <w:rFonts w:hint="eastAsia" w:ascii="仿宋" w:hAnsi="仿宋" w:eastAsia="仿宋" w:cs="仿宋"/>
          <w:b/>
          <w:color w:val="auto"/>
          <w:sz w:val="24"/>
          <w:szCs w:val="24"/>
          <w:highlight w:val="none"/>
        </w:rPr>
        <w:t>第十</w:t>
      </w:r>
      <w:r>
        <w:rPr>
          <w:rFonts w:hint="eastAsia" w:ascii="仿宋" w:hAnsi="仿宋" w:eastAsia="仿宋" w:cs="仿宋"/>
          <w:b/>
          <w:color w:val="auto"/>
          <w:sz w:val="24"/>
          <w:szCs w:val="24"/>
          <w:highlight w:val="none"/>
          <w:lang w:val="en-US" w:eastAsia="zh-CN"/>
        </w:rPr>
        <w:t>四</w:t>
      </w:r>
      <w:r>
        <w:rPr>
          <w:rFonts w:hint="eastAsia" w:ascii="仿宋" w:hAnsi="仿宋" w:eastAsia="仿宋" w:cs="仿宋"/>
          <w:b/>
          <w:color w:val="auto"/>
          <w:sz w:val="24"/>
          <w:szCs w:val="24"/>
          <w:highlight w:val="none"/>
        </w:rPr>
        <w:t xml:space="preserve">条 </w:t>
      </w:r>
      <w:r>
        <w:rPr>
          <w:rFonts w:hint="eastAsia" w:ascii="仿宋" w:hAnsi="仿宋" w:eastAsia="仿宋" w:cs="仿宋"/>
          <w:b/>
          <w:color w:val="auto"/>
          <w:kern w:val="0"/>
          <w:sz w:val="24"/>
          <w:szCs w:val="24"/>
          <w:highlight w:val="none"/>
        </w:rPr>
        <w:t>合同生效及其他</w:t>
      </w:r>
    </w:p>
    <w:p w14:paraId="1E9ACDF2">
      <w:pPr>
        <w:snapToGrid w:val="0"/>
        <w:spacing w:line="360" w:lineRule="auto"/>
        <w:ind w:firstLine="539"/>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rPr>
        <w:t>1.</w:t>
      </w:r>
      <w:r>
        <w:rPr>
          <w:rFonts w:hint="eastAsia" w:ascii="仿宋" w:hAnsi="仿宋" w:eastAsia="仿宋" w:cs="仿宋"/>
          <w:color w:val="auto"/>
          <w:sz w:val="24"/>
          <w:szCs w:val="24"/>
          <w:highlight w:val="none"/>
        </w:rPr>
        <w:t>如有未尽事宜，由双方依法订立补充合同。</w:t>
      </w:r>
    </w:p>
    <w:p w14:paraId="4447DD96">
      <w:pPr>
        <w:snapToGrid w:val="0"/>
        <w:spacing w:line="360" w:lineRule="auto"/>
        <w:ind w:firstLine="539"/>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2.本合同自签订之日起生效。</w:t>
      </w:r>
    </w:p>
    <w:p w14:paraId="3103803E">
      <w:pPr>
        <w:snapToGrid w:val="0"/>
        <w:spacing w:line="360" w:lineRule="auto"/>
        <w:ind w:firstLine="539"/>
        <w:rPr>
          <w:rFonts w:hint="eastAsia" w:ascii="仿宋" w:hAnsi="仿宋" w:eastAsia="仿宋" w:cs="仿宋"/>
          <w:color w:val="auto"/>
          <w:szCs w:val="21"/>
          <w:highlight w:val="none"/>
        </w:rPr>
      </w:pPr>
      <w:r>
        <w:rPr>
          <w:rFonts w:hint="eastAsia" w:ascii="仿宋" w:hAnsi="仿宋" w:eastAsia="仿宋" w:cs="仿宋"/>
          <w:color w:val="auto"/>
          <w:kern w:val="0"/>
          <w:sz w:val="24"/>
          <w:szCs w:val="24"/>
          <w:highlight w:val="none"/>
        </w:rPr>
        <w:t>3.本合同一式</w:t>
      </w:r>
      <w:r>
        <w:rPr>
          <w:rFonts w:hint="eastAsia" w:ascii="仿宋" w:hAnsi="仿宋" w:eastAsia="仿宋" w:cs="仿宋"/>
          <w:color w:val="auto"/>
          <w:kern w:val="0"/>
          <w:sz w:val="24"/>
          <w:szCs w:val="24"/>
          <w:highlight w:val="none"/>
          <w:u w:val="single"/>
          <w:lang w:val="en-US" w:eastAsia="zh-CN"/>
        </w:rPr>
        <w:t>4</w:t>
      </w:r>
      <w:r>
        <w:rPr>
          <w:rFonts w:hint="eastAsia" w:ascii="仿宋" w:hAnsi="仿宋" w:eastAsia="仿宋" w:cs="仿宋"/>
          <w:color w:val="auto"/>
          <w:kern w:val="0"/>
          <w:sz w:val="24"/>
          <w:szCs w:val="24"/>
          <w:highlight w:val="none"/>
        </w:rPr>
        <w:t>份，具有同等法律效力，甲乙双方各执</w:t>
      </w:r>
      <w:r>
        <w:rPr>
          <w:rFonts w:hint="eastAsia" w:ascii="仿宋" w:hAnsi="仿宋" w:eastAsia="仿宋" w:cs="仿宋"/>
          <w:color w:val="auto"/>
          <w:kern w:val="0"/>
          <w:sz w:val="24"/>
          <w:szCs w:val="24"/>
          <w:highlight w:val="none"/>
          <w:u w:val="single"/>
          <w:lang w:val="en-US" w:eastAsia="zh-CN"/>
        </w:rPr>
        <w:t>2</w:t>
      </w:r>
      <w:r>
        <w:rPr>
          <w:rFonts w:hint="eastAsia" w:ascii="仿宋" w:hAnsi="仿宋" w:eastAsia="仿宋" w:cs="仿宋"/>
          <w:color w:val="auto"/>
          <w:kern w:val="0"/>
          <w:sz w:val="24"/>
          <w:szCs w:val="24"/>
          <w:highlight w:val="none"/>
        </w:rPr>
        <w:t>份。</w:t>
      </w:r>
    </w:p>
    <w:p w14:paraId="495FC7EE">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以下无正文</w:t>
      </w:r>
      <w:r>
        <w:rPr>
          <w:rFonts w:hint="eastAsia" w:ascii="仿宋" w:hAnsi="仿宋" w:eastAsia="仿宋" w:cs="仿宋"/>
          <w:b w:val="0"/>
          <w:bCs w:val="0"/>
          <w:color w:val="auto"/>
          <w:sz w:val="22"/>
          <w:szCs w:val="22"/>
          <w:highlight w:val="none"/>
        </w:rPr>
        <w:br w:type="page"/>
      </w:r>
      <w:r>
        <w:rPr>
          <w:rFonts w:hint="eastAsia" w:ascii="仿宋" w:hAnsi="仿宋" w:eastAsia="仿宋" w:cs="仿宋"/>
          <w:b w:val="0"/>
          <w:bCs w:val="0"/>
          <w:color w:val="auto"/>
          <w:sz w:val="22"/>
          <w:szCs w:val="22"/>
          <w:highlight w:val="none"/>
          <w:lang w:val="en-US" w:eastAsia="zh-CN"/>
        </w:rPr>
        <w:t xml:space="preserve">    </w:t>
      </w:r>
    </w:p>
    <w:p w14:paraId="6A54392A">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lang w:val="en-US" w:eastAsia="zh-CN"/>
        </w:rPr>
      </w:pPr>
    </w:p>
    <w:p w14:paraId="0F5037A4">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 xml:space="preserve">甲方：   （盖章）   </w:t>
      </w:r>
      <w:r>
        <w:rPr>
          <w:rFonts w:hint="eastAsia" w:ascii="仿宋" w:hAnsi="仿宋" w:eastAsia="仿宋" w:cs="仿宋"/>
          <w:b w:val="0"/>
          <w:bCs w:val="0"/>
          <w:color w:val="auto"/>
          <w:sz w:val="22"/>
          <w:szCs w:val="22"/>
          <w:highlight w:val="none"/>
        </w:rPr>
        <w:tab/>
      </w:r>
      <w:r>
        <w:rPr>
          <w:rFonts w:hint="eastAsia" w:ascii="仿宋" w:hAnsi="仿宋" w:eastAsia="仿宋" w:cs="仿宋"/>
          <w:b w:val="0"/>
          <w:bCs w:val="0"/>
          <w:color w:val="auto"/>
          <w:sz w:val="22"/>
          <w:szCs w:val="22"/>
          <w:highlight w:val="none"/>
        </w:rPr>
        <w:tab/>
      </w:r>
      <w:r>
        <w:rPr>
          <w:rFonts w:hint="eastAsia" w:ascii="仿宋" w:hAnsi="仿宋" w:eastAsia="仿宋" w:cs="仿宋"/>
          <w:b w:val="0"/>
          <w:bCs w:val="0"/>
          <w:color w:val="auto"/>
          <w:sz w:val="22"/>
          <w:szCs w:val="22"/>
          <w:highlight w:val="none"/>
        </w:rPr>
        <w:tab/>
      </w:r>
      <w:r>
        <w:rPr>
          <w:rFonts w:hint="eastAsia" w:ascii="仿宋" w:hAnsi="仿宋" w:eastAsia="仿宋" w:cs="仿宋"/>
          <w:b w:val="0"/>
          <w:bCs w:val="0"/>
          <w:color w:val="auto"/>
          <w:sz w:val="22"/>
          <w:szCs w:val="22"/>
          <w:highlight w:val="none"/>
        </w:rPr>
        <w:t xml:space="preserve">   乙方：   （盖章）</w:t>
      </w:r>
    </w:p>
    <w:p w14:paraId="0FC43D58">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法定代表人/委托代理人：            法定代表人/委托代理人：</w:t>
      </w:r>
    </w:p>
    <w:p w14:paraId="4437E9B2">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地    址：                         地    址：</w:t>
      </w:r>
    </w:p>
    <w:p w14:paraId="3BFEFE89">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开户银行：                         开户银行：</w:t>
      </w:r>
    </w:p>
    <w:p w14:paraId="302EFF79">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账    号：                         账    号：</w:t>
      </w:r>
    </w:p>
    <w:p w14:paraId="66E497BA">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电    话：                         电    话：</w:t>
      </w:r>
    </w:p>
    <w:p w14:paraId="20B1D317">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传    真：                         传    真：</w:t>
      </w:r>
    </w:p>
    <w:p w14:paraId="1EB79183">
      <w:pPr>
        <w:spacing w:before="120" w:beforeLines="50" w:after="120" w:afterLines="50" w:line="240" w:lineRule="auto"/>
        <w:ind w:firstLine="440" w:firstLineChars="200"/>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rPr>
        <w:t>签约日期：    年  月  日           签约日期：    年  月  日</w:t>
      </w:r>
    </w:p>
    <w:p w14:paraId="47B7F039">
      <w:pPr>
        <w:pStyle w:val="4"/>
        <w:rPr>
          <w:rFonts w:hint="eastAsia" w:ascii="仿宋" w:hAnsi="仿宋" w:eastAsia="仿宋" w:cs="仿宋"/>
          <w:highlight w:val="none"/>
          <w:lang w:val="en-US" w:eastAsia="zh-CN"/>
        </w:rPr>
      </w:pPr>
    </w:p>
    <w:p w14:paraId="32CD1FEE">
      <w:pPr>
        <w:pStyle w:val="4"/>
        <w:rPr>
          <w:rFonts w:hint="eastAsia" w:ascii="仿宋" w:hAnsi="仿宋" w:eastAsia="仿宋" w:cs="仿宋"/>
          <w:b/>
          <w:kern w:val="44"/>
          <w:sz w:val="32"/>
          <w:szCs w:val="20"/>
          <w:highlight w:val="none"/>
          <w:lang w:val="en-US" w:eastAsia="zh-CN"/>
        </w:rPr>
        <w:sectPr>
          <w:pgSz w:w="11906" w:h="16838"/>
          <w:pgMar w:top="1418" w:right="1418" w:bottom="1418" w:left="1418" w:header="851" w:footer="992" w:gutter="0"/>
          <w:pgBorders w:offsetFrom="page">
            <w:top w:val="none" w:sz="0" w:space="0"/>
            <w:left w:val="none" w:sz="0" w:space="0"/>
            <w:bottom w:val="none" w:sz="0" w:space="0"/>
            <w:right w:val="none" w:sz="0" w:space="0"/>
          </w:pgBorders>
          <w:pgNumType w:fmt="decimal"/>
          <w:cols w:space="720" w:num="1"/>
          <w:docGrid w:type="linesAndChars" w:linePitch="312" w:charSpace="0"/>
        </w:sectPr>
      </w:pPr>
    </w:p>
    <w:p w14:paraId="251C0186">
      <w:pPr>
        <w:spacing w:line="360" w:lineRule="auto"/>
        <w:rPr>
          <w:rFonts w:hint="eastAsia" w:ascii="仿宋" w:hAnsi="仿宋" w:eastAsia="仿宋" w:cs="仿宋"/>
          <w:sz w:val="24"/>
          <w:highlight w:val="none"/>
          <w:lang w:eastAsia="zh-CN"/>
        </w:rPr>
      </w:pPr>
      <w:r>
        <w:rPr>
          <w:rFonts w:hint="eastAsia" w:ascii="仿宋" w:hAnsi="仿宋" w:eastAsia="仿宋" w:cs="仿宋"/>
          <w:sz w:val="24"/>
          <w:highlight w:val="none"/>
        </w:rPr>
        <w:t>合同附件</w:t>
      </w:r>
      <w:r>
        <w:rPr>
          <w:rFonts w:hint="eastAsia" w:ascii="仿宋" w:hAnsi="仿宋" w:eastAsia="仿宋" w:cs="仿宋"/>
          <w:sz w:val="24"/>
          <w:highlight w:val="none"/>
          <w:lang w:eastAsia="zh-CN"/>
        </w:rPr>
        <w:t>：</w:t>
      </w:r>
    </w:p>
    <w:tbl>
      <w:tblPr>
        <w:tblStyle w:val="5"/>
        <w:tblW w:w="5000" w:type="pct"/>
        <w:tblInd w:w="0" w:type="dxa"/>
        <w:tblLayout w:type="autofit"/>
        <w:tblCellMar>
          <w:top w:w="0" w:type="dxa"/>
          <w:left w:w="108" w:type="dxa"/>
          <w:bottom w:w="0" w:type="dxa"/>
          <w:right w:w="108" w:type="dxa"/>
        </w:tblCellMar>
      </w:tblPr>
      <w:tblGrid>
        <w:gridCol w:w="1571"/>
        <w:gridCol w:w="2299"/>
        <w:gridCol w:w="2524"/>
        <w:gridCol w:w="2128"/>
      </w:tblGrid>
      <w:tr w14:paraId="2B5EF749">
        <w:tblPrEx>
          <w:tblCellMar>
            <w:top w:w="0" w:type="dxa"/>
            <w:left w:w="108" w:type="dxa"/>
            <w:bottom w:w="0" w:type="dxa"/>
            <w:right w:w="108" w:type="dxa"/>
          </w:tblCellMar>
        </w:tblPrEx>
        <w:trPr>
          <w:trHeight w:val="900" w:hRule="atLeast"/>
        </w:trPr>
        <w:tc>
          <w:tcPr>
            <w:tcW w:w="5000" w:type="pct"/>
            <w:gridSpan w:val="4"/>
            <w:tcBorders>
              <w:top w:val="nil"/>
              <w:left w:val="nil"/>
              <w:bottom w:val="nil"/>
              <w:right w:val="nil"/>
            </w:tcBorders>
            <w:noWrap/>
            <w:vAlign w:val="center"/>
          </w:tcPr>
          <w:p w14:paraId="1F234C3F">
            <w:pPr>
              <w:widowControl/>
              <w:jc w:val="center"/>
              <w:rPr>
                <w:rFonts w:hint="eastAsia" w:ascii="仿宋" w:hAnsi="仿宋" w:eastAsia="仿宋" w:cs="仿宋"/>
                <w:b/>
                <w:bCs/>
                <w:color w:val="000000"/>
                <w:kern w:val="0"/>
                <w:sz w:val="32"/>
                <w:szCs w:val="32"/>
                <w:highlight w:val="none"/>
              </w:rPr>
            </w:pPr>
            <w:r>
              <w:rPr>
                <w:rFonts w:hint="eastAsia" w:ascii="仿宋" w:hAnsi="仿宋" w:eastAsia="仿宋" w:cs="仿宋"/>
                <w:b w:val="0"/>
                <w:bCs w:val="0"/>
                <w:color w:val="000000"/>
                <w:kern w:val="0"/>
                <w:sz w:val="28"/>
                <w:szCs w:val="28"/>
                <w:highlight w:val="none"/>
              </w:rPr>
              <w:t>政府采购项目货物（服务）验收入库报告单</w:t>
            </w:r>
          </w:p>
        </w:tc>
      </w:tr>
      <w:tr w14:paraId="17AD548C">
        <w:tblPrEx>
          <w:tblCellMar>
            <w:top w:w="0" w:type="dxa"/>
            <w:left w:w="108" w:type="dxa"/>
            <w:bottom w:w="0" w:type="dxa"/>
            <w:right w:w="108" w:type="dxa"/>
          </w:tblCellMar>
        </w:tblPrEx>
        <w:trPr>
          <w:trHeight w:val="540" w:hRule="atLeast"/>
        </w:trPr>
        <w:tc>
          <w:tcPr>
            <w:tcW w:w="922" w:type="pct"/>
            <w:tcBorders>
              <w:top w:val="single" w:color="auto" w:sz="8" w:space="0"/>
              <w:left w:val="single" w:color="auto" w:sz="8" w:space="0"/>
              <w:bottom w:val="single" w:color="auto" w:sz="4" w:space="0"/>
              <w:right w:val="single" w:color="auto" w:sz="4" w:space="0"/>
            </w:tcBorders>
            <w:noWrap/>
            <w:vAlign w:val="center"/>
          </w:tcPr>
          <w:p w14:paraId="77D7AE3C">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采购单位</w:t>
            </w:r>
          </w:p>
        </w:tc>
        <w:tc>
          <w:tcPr>
            <w:tcW w:w="4078" w:type="pct"/>
            <w:gridSpan w:val="3"/>
            <w:tcBorders>
              <w:top w:val="single" w:color="auto" w:sz="8" w:space="0"/>
              <w:left w:val="nil"/>
              <w:bottom w:val="single" w:color="auto" w:sz="4" w:space="0"/>
              <w:right w:val="single" w:color="000000" w:sz="8" w:space="0"/>
            </w:tcBorders>
            <w:noWrap/>
            <w:vAlign w:val="center"/>
          </w:tcPr>
          <w:p w14:paraId="73BD4C00">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19D24E0F">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33BE1A81">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采购项目</w:t>
            </w:r>
          </w:p>
        </w:tc>
        <w:tc>
          <w:tcPr>
            <w:tcW w:w="4078" w:type="pct"/>
            <w:gridSpan w:val="3"/>
            <w:tcBorders>
              <w:top w:val="single" w:color="auto" w:sz="4" w:space="0"/>
              <w:left w:val="nil"/>
              <w:bottom w:val="single" w:color="auto" w:sz="4" w:space="0"/>
              <w:right w:val="single" w:color="000000" w:sz="8" w:space="0"/>
            </w:tcBorders>
            <w:noWrap/>
            <w:vAlign w:val="center"/>
          </w:tcPr>
          <w:p w14:paraId="501393BB">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5C779FC2">
        <w:tblPrEx>
          <w:tblCellMar>
            <w:top w:w="0" w:type="dxa"/>
            <w:left w:w="108" w:type="dxa"/>
            <w:bottom w:w="0" w:type="dxa"/>
            <w:right w:w="108" w:type="dxa"/>
          </w:tblCellMar>
        </w:tblPrEx>
        <w:trPr>
          <w:trHeight w:val="540" w:hRule="atLeast"/>
        </w:trPr>
        <w:tc>
          <w:tcPr>
            <w:tcW w:w="922" w:type="pct"/>
            <w:vMerge w:val="restart"/>
            <w:tcBorders>
              <w:top w:val="nil"/>
              <w:left w:val="single" w:color="auto" w:sz="8" w:space="0"/>
              <w:bottom w:val="single" w:color="auto" w:sz="4" w:space="0"/>
              <w:right w:val="single" w:color="auto" w:sz="4" w:space="0"/>
            </w:tcBorders>
            <w:noWrap/>
            <w:vAlign w:val="center"/>
          </w:tcPr>
          <w:p w14:paraId="2E43BE6F">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项目编号</w:t>
            </w:r>
          </w:p>
        </w:tc>
        <w:tc>
          <w:tcPr>
            <w:tcW w:w="1349" w:type="pct"/>
            <w:vMerge w:val="restart"/>
            <w:tcBorders>
              <w:top w:val="nil"/>
              <w:left w:val="single" w:color="auto" w:sz="4" w:space="0"/>
              <w:bottom w:val="single" w:color="auto" w:sz="4" w:space="0"/>
              <w:right w:val="single" w:color="auto" w:sz="4" w:space="0"/>
            </w:tcBorders>
            <w:noWrap/>
            <w:vAlign w:val="center"/>
          </w:tcPr>
          <w:p w14:paraId="27645B45">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c>
          <w:tcPr>
            <w:tcW w:w="1481" w:type="pct"/>
            <w:tcBorders>
              <w:top w:val="nil"/>
              <w:left w:val="nil"/>
              <w:bottom w:val="single" w:color="auto" w:sz="4" w:space="0"/>
              <w:right w:val="single" w:color="auto" w:sz="4" w:space="0"/>
            </w:tcBorders>
            <w:noWrap/>
            <w:vAlign w:val="center"/>
          </w:tcPr>
          <w:p w14:paraId="4A252336">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合同金额</w:t>
            </w:r>
          </w:p>
        </w:tc>
        <w:tc>
          <w:tcPr>
            <w:tcW w:w="1248" w:type="pct"/>
            <w:tcBorders>
              <w:top w:val="nil"/>
              <w:left w:val="nil"/>
              <w:bottom w:val="single" w:color="auto" w:sz="4" w:space="0"/>
              <w:right w:val="single" w:color="auto" w:sz="8" w:space="0"/>
            </w:tcBorders>
            <w:noWrap/>
            <w:vAlign w:val="center"/>
          </w:tcPr>
          <w:p w14:paraId="78862CE5">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w:t>
            </w:r>
          </w:p>
        </w:tc>
      </w:tr>
      <w:tr w14:paraId="68806E8B">
        <w:tblPrEx>
          <w:tblCellMar>
            <w:top w:w="0" w:type="dxa"/>
            <w:left w:w="108" w:type="dxa"/>
            <w:bottom w:w="0" w:type="dxa"/>
            <w:right w:w="108" w:type="dxa"/>
          </w:tblCellMar>
        </w:tblPrEx>
        <w:trPr>
          <w:trHeight w:val="540" w:hRule="atLeast"/>
        </w:trPr>
        <w:tc>
          <w:tcPr>
            <w:tcW w:w="922" w:type="pct"/>
            <w:vMerge w:val="continue"/>
            <w:tcBorders>
              <w:top w:val="nil"/>
              <w:left w:val="single" w:color="auto" w:sz="8" w:space="0"/>
              <w:bottom w:val="single" w:color="auto" w:sz="4" w:space="0"/>
              <w:right w:val="single" w:color="auto" w:sz="4" w:space="0"/>
            </w:tcBorders>
            <w:noWrap w:val="0"/>
            <w:vAlign w:val="center"/>
          </w:tcPr>
          <w:p w14:paraId="103F05AF">
            <w:pPr>
              <w:widowControl/>
              <w:jc w:val="left"/>
              <w:rPr>
                <w:rFonts w:hint="eastAsia" w:ascii="仿宋" w:hAnsi="仿宋" w:eastAsia="仿宋" w:cs="仿宋"/>
                <w:b w:val="0"/>
                <w:bCs w:val="0"/>
                <w:color w:val="000000"/>
                <w:kern w:val="0"/>
                <w:sz w:val="24"/>
                <w:highlight w:val="none"/>
              </w:rPr>
            </w:pPr>
          </w:p>
        </w:tc>
        <w:tc>
          <w:tcPr>
            <w:tcW w:w="1349" w:type="pct"/>
            <w:vMerge w:val="continue"/>
            <w:tcBorders>
              <w:top w:val="nil"/>
              <w:left w:val="single" w:color="auto" w:sz="4" w:space="0"/>
              <w:bottom w:val="single" w:color="auto" w:sz="4" w:space="0"/>
              <w:right w:val="single" w:color="auto" w:sz="4" w:space="0"/>
            </w:tcBorders>
            <w:noWrap w:val="0"/>
            <w:vAlign w:val="center"/>
          </w:tcPr>
          <w:p w14:paraId="531AA18F">
            <w:pPr>
              <w:widowControl/>
              <w:jc w:val="left"/>
              <w:rPr>
                <w:rFonts w:hint="eastAsia" w:ascii="仿宋" w:hAnsi="仿宋" w:eastAsia="仿宋" w:cs="仿宋"/>
                <w:b w:val="0"/>
                <w:bCs w:val="0"/>
                <w:color w:val="000000"/>
                <w:kern w:val="0"/>
                <w:sz w:val="24"/>
                <w:highlight w:val="none"/>
              </w:rPr>
            </w:pPr>
          </w:p>
        </w:tc>
        <w:tc>
          <w:tcPr>
            <w:tcW w:w="1481" w:type="pct"/>
            <w:tcBorders>
              <w:top w:val="nil"/>
              <w:left w:val="nil"/>
              <w:bottom w:val="single" w:color="auto" w:sz="4" w:space="0"/>
              <w:right w:val="single" w:color="auto" w:sz="4" w:space="0"/>
            </w:tcBorders>
            <w:noWrap/>
            <w:vAlign w:val="center"/>
          </w:tcPr>
          <w:p w14:paraId="591790B9">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验收时间/地点</w:t>
            </w:r>
          </w:p>
        </w:tc>
        <w:tc>
          <w:tcPr>
            <w:tcW w:w="1248" w:type="pct"/>
            <w:tcBorders>
              <w:top w:val="nil"/>
              <w:left w:val="nil"/>
              <w:bottom w:val="single" w:color="auto" w:sz="4" w:space="0"/>
              <w:right w:val="single" w:color="auto" w:sz="8" w:space="0"/>
            </w:tcBorders>
            <w:noWrap/>
            <w:vAlign w:val="center"/>
          </w:tcPr>
          <w:p w14:paraId="2FA9B06B">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78049AE5">
        <w:tblPrEx>
          <w:tblCellMar>
            <w:top w:w="0" w:type="dxa"/>
            <w:left w:w="108" w:type="dxa"/>
            <w:bottom w:w="0" w:type="dxa"/>
            <w:right w:w="108" w:type="dxa"/>
          </w:tblCellMar>
        </w:tblPrEx>
        <w:trPr>
          <w:trHeight w:val="471" w:hRule="atLeast"/>
        </w:trPr>
        <w:tc>
          <w:tcPr>
            <w:tcW w:w="922" w:type="pct"/>
            <w:tcBorders>
              <w:top w:val="nil"/>
              <w:left w:val="single" w:color="auto" w:sz="8" w:space="0"/>
              <w:bottom w:val="single" w:color="auto" w:sz="4" w:space="0"/>
              <w:right w:val="single" w:color="auto" w:sz="4" w:space="0"/>
            </w:tcBorders>
            <w:noWrap/>
            <w:vAlign w:val="center"/>
          </w:tcPr>
          <w:p w14:paraId="500B172D">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供货单位</w:t>
            </w:r>
          </w:p>
        </w:tc>
        <w:tc>
          <w:tcPr>
            <w:tcW w:w="4078" w:type="pct"/>
            <w:gridSpan w:val="3"/>
            <w:tcBorders>
              <w:top w:val="single" w:color="auto" w:sz="4" w:space="0"/>
              <w:left w:val="nil"/>
              <w:bottom w:val="single" w:color="auto" w:sz="4" w:space="0"/>
              <w:right w:val="single" w:color="000000" w:sz="8" w:space="0"/>
            </w:tcBorders>
            <w:noWrap/>
            <w:vAlign w:val="center"/>
          </w:tcPr>
          <w:p w14:paraId="44D35A52">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69557728">
        <w:tblPrEx>
          <w:tblCellMar>
            <w:top w:w="0" w:type="dxa"/>
            <w:left w:w="108" w:type="dxa"/>
            <w:bottom w:w="0" w:type="dxa"/>
            <w:right w:w="108" w:type="dxa"/>
          </w:tblCellMar>
        </w:tblPrEx>
        <w:trPr>
          <w:trHeight w:val="540" w:hRule="atLeast"/>
        </w:trPr>
        <w:tc>
          <w:tcPr>
            <w:tcW w:w="922" w:type="pct"/>
            <w:tcBorders>
              <w:top w:val="nil"/>
              <w:left w:val="single" w:color="auto" w:sz="8" w:space="0"/>
              <w:bottom w:val="single" w:color="auto" w:sz="4" w:space="0"/>
              <w:right w:val="single" w:color="auto" w:sz="4" w:space="0"/>
            </w:tcBorders>
            <w:noWrap/>
            <w:vAlign w:val="center"/>
          </w:tcPr>
          <w:p w14:paraId="198B166F">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开户行</w:t>
            </w:r>
          </w:p>
        </w:tc>
        <w:tc>
          <w:tcPr>
            <w:tcW w:w="1349" w:type="pct"/>
            <w:tcBorders>
              <w:top w:val="nil"/>
              <w:left w:val="nil"/>
              <w:bottom w:val="single" w:color="auto" w:sz="4" w:space="0"/>
              <w:right w:val="single" w:color="auto" w:sz="4" w:space="0"/>
            </w:tcBorders>
            <w:noWrap/>
            <w:vAlign w:val="center"/>
          </w:tcPr>
          <w:p w14:paraId="7BFB8E78">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c>
          <w:tcPr>
            <w:tcW w:w="1481" w:type="pct"/>
            <w:tcBorders>
              <w:top w:val="nil"/>
              <w:left w:val="nil"/>
              <w:bottom w:val="single" w:color="auto" w:sz="4" w:space="0"/>
              <w:right w:val="single" w:color="auto" w:sz="4" w:space="0"/>
            </w:tcBorders>
            <w:noWrap/>
            <w:vAlign w:val="center"/>
          </w:tcPr>
          <w:p w14:paraId="10AF0181">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账号</w:t>
            </w:r>
          </w:p>
        </w:tc>
        <w:tc>
          <w:tcPr>
            <w:tcW w:w="1248" w:type="pct"/>
            <w:tcBorders>
              <w:top w:val="nil"/>
              <w:left w:val="nil"/>
              <w:bottom w:val="single" w:color="auto" w:sz="4" w:space="0"/>
              <w:right w:val="single" w:color="auto" w:sz="8" w:space="0"/>
            </w:tcBorders>
            <w:noWrap/>
            <w:vAlign w:val="center"/>
          </w:tcPr>
          <w:p w14:paraId="21C0876F">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38CE57CD">
        <w:tblPrEx>
          <w:tblCellMar>
            <w:top w:w="0" w:type="dxa"/>
            <w:left w:w="108" w:type="dxa"/>
            <w:bottom w:w="0" w:type="dxa"/>
            <w:right w:w="108" w:type="dxa"/>
          </w:tblCellMar>
        </w:tblPrEx>
        <w:trPr>
          <w:trHeight w:val="540" w:hRule="atLeast"/>
        </w:trPr>
        <w:tc>
          <w:tcPr>
            <w:tcW w:w="922" w:type="pct"/>
            <w:tcBorders>
              <w:top w:val="nil"/>
              <w:left w:val="single" w:color="auto" w:sz="8" w:space="0"/>
              <w:bottom w:val="nil"/>
              <w:right w:val="single" w:color="auto" w:sz="4" w:space="0"/>
            </w:tcBorders>
            <w:noWrap/>
            <w:vAlign w:val="center"/>
          </w:tcPr>
          <w:p w14:paraId="128C3C41">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联系人</w:t>
            </w:r>
          </w:p>
        </w:tc>
        <w:tc>
          <w:tcPr>
            <w:tcW w:w="1349" w:type="pct"/>
            <w:tcBorders>
              <w:top w:val="nil"/>
              <w:left w:val="nil"/>
              <w:bottom w:val="nil"/>
              <w:right w:val="single" w:color="auto" w:sz="4" w:space="0"/>
            </w:tcBorders>
            <w:noWrap/>
            <w:vAlign w:val="center"/>
          </w:tcPr>
          <w:p w14:paraId="2F7324A4">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c>
          <w:tcPr>
            <w:tcW w:w="1481" w:type="pct"/>
            <w:tcBorders>
              <w:top w:val="nil"/>
              <w:left w:val="nil"/>
              <w:bottom w:val="nil"/>
              <w:right w:val="single" w:color="auto" w:sz="4" w:space="0"/>
            </w:tcBorders>
            <w:noWrap/>
            <w:vAlign w:val="center"/>
          </w:tcPr>
          <w:p w14:paraId="6260078E">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电话</w:t>
            </w:r>
          </w:p>
        </w:tc>
        <w:tc>
          <w:tcPr>
            <w:tcW w:w="1248" w:type="pct"/>
            <w:tcBorders>
              <w:top w:val="nil"/>
              <w:left w:val="nil"/>
              <w:bottom w:val="nil"/>
              <w:right w:val="single" w:color="auto" w:sz="8" w:space="0"/>
            </w:tcBorders>
            <w:noWrap/>
            <w:vAlign w:val="center"/>
          </w:tcPr>
          <w:p w14:paraId="051EBDA8">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6167AEFC">
        <w:tblPrEx>
          <w:tblCellMar>
            <w:top w:w="0" w:type="dxa"/>
            <w:left w:w="108" w:type="dxa"/>
            <w:bottom w:w="0" w:type="dxa"/>
            <w:right w:w="108" w:type="dxa"/>
          </w:tblCellMar>
        </w:tblPrEx>
        <w:trPr>
          <w:trHeight w:val="880" w:hRule="atLeast"/>
        </w:trPr>
        <w:tc>
          <w:tcPr>
            <w:tcW w:w="2271" w:type="pct"/>
            <w:gridSpan w:val="2"/>
            <w:tcBorders>
              <w:top w:val="single" w:color="auto" w:sz="4" w:space="0"/>
              <w:left w:val="single" w:color="auto" w:sz="8" w:space="0"/>
              <w:bottom w:val="nil"/>
              <w:right w:val="nil"/>
            </w:tcBorders>
            <w:noWrap w:val="0"/>
            <w:vAlign w:val="top"/>
          </w:tcPr>
          <w:p w14:paraId="4ECCF40A">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xml:space="preserve">  供货单位：（盖章）</w:t>
            </w:r>
          </w:p>
        </w:tc>
        <w:tc>
          <w:tcPr>
            <w:tcW w:w="2729" w:type="pct"/>
            <w:gridSpan w:val="2"/>
            <w:tcBorders>
              <w:top w:val="single" w:color="auto" w:sz="4" w:space="0"/>
              <w:left w:val="single" w:color="auto" w:sz="4" w:space="0"/>
              <w:bottom w:val="nil"/>
              <w:right w:val="single" w:color="000000" w:sz="8" w:space="0"/>
            </w:tcBorders>
            <w:noWrap w:val="0"/>
            <w:vAlign w:val="top"/>
          </w:tcPr>
          <w:p w14:paraId="64A0F762">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xml:space="preserve">   使用单位验收意见：（盖章）</w:t>
            </w:r>
          </w:p>
          <w:p w14:paraId="4FA71740">
            <w:pPr>
              <w:rPr>
                <w:rFonts w:hint="eastAsia" w:ascii="仿宋" w:hAnsi="仿宋" w:eastAsia="仿宋" w:cs="仿宋"/>
                <w:b w:val="0"/>
                <w:bCs w:val="0"/>
                <w:sz w:val="24"/>
                <w:highlight w:val="none"/>
              </w:rPr>
            </w:pPr>
          </w:p>
        </w:tc>
      </w:tr>
      <w:tr w14:paraId="74102AAD">
        <w:tblPrEx>
          <w:tblCellMar>
            <w:top w:w="0" w:type="dxa"/>
            <w:left w:w="108" w:type="dxa"/>
            <w:bottom w:w="0" w:type="dxa"/>
            <w:right w:w="108" w:type="dxa"/>
          </w:tblCellMar>
        </w:tblPrEx>
        <w:trPr>
          <w:trHeight w:val="480" w:hRule="atLeast"/>
        </w:trPr>
        <w:tc>
          <w:tcPr>
            <w:tcW w:w="922" w:type="pct"/>
            <w:tcBorders>
              <w:top w:val="nil"/>
              <w:left w:val="single" w:color="auto" w:sz="8" w:space="0"/>
              <w:bottom w:val="nil"/>
              <w:right w:val="nil"/>
            </w:tcBorders>
            <w:noWrap/>
            <w:vAlign w:val="center"/>
          </w:tcPr>
          <w:p w14:paraId="3FF48135">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xml:space="preserve"> 签字：</w:t>
            </w:r>
          </w:p>
        </w:tc>
        <w:tc>
          <w:tcPr>
            <w:tcW w:w="1349" w:type="pct"/>
            <w:tcBorders>
              <w:top w:val="nil"/>
              <w:left w:val="nil"/>
              <w:bottom w:val="nil"/>
              <w:right w:val="nil"/>
            </w:tcBorders>
            <w:noWrap/>
            <w:vAlign w:val="center"/>
          </w:tcPr>
          <w:p w14:paraId="58FC6D28">
            <w:pPr>
              <w:widowControl/>
              <w:jc w:val="center"/>
              <w:rPr>
                <w:rFonts w:hint="eastAsia" w:ascii="仿宋" w:hAnsi="仿宋" w:eastAsia="仿宋" w:cs="仿宋"/>
                <w:b w:val="0"/>
                <w:bCs w:val="0"/>
                <w:color w:val="000000"/>
                <w:kern w:val="0"/>
                <w:sz w:val="24"/>
                <w:highlight w:val="none"/>
              </w:rPr>
            </w:pPr>
          </w:p>
        </w:tc>
        <w:tc>
          <w:tcPr>
            <w:tcW w:w="1481" w:type="pct"/>
            <w:tcBorders>
              <w:top w:val="nil"/>
              <w:left w:val="single" w:color="auto" w:sz="4" w:space="0"/>
              <w:bottom w:val="nil"/>
              <w:right w:val="nil"/>
            </w:tcBorders>
            <w:noWrap/>
            <w:vAlign w:val="center"/>
          </w:tcPr>
          <w:p w14:paraId="6AB88973">
            <w:pPr>
              <w:widowControl/>
              <w:jc w:val="center"/>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签字：</w:t>
            </w:r>
          </w:p>
        </w:tc>
        <w:tc>
          <w:tcPr>
            <w:tcW w:w="1248" w:type="pct"/>
            <w:tcBorders>
              <w:top w:val="nil"/>
              <w:left w:val="nil"/>
              <w:bottom w:val="nil"/>
              <w:right w:val="single" w:color="auto" w:sz="8" w:space="0"/>
            </w:tcBorders>
            <w:noWrap w:val="0"/>
            <w:vAlign w:val="top"/>
          </w:tcPr>
          <w:p w14:paraId="24474A47">
            <w:pPr>
              <w:widowControl/>
              <w:jc w:val="left"/>
              <w:rPr>
                <w:rFonts w:hint="eastAsia" w:ascii="仿宋" w:hAnsi="仿宋" w:eastAsia="仿宋" w:cs="仿宋"/>
                <w:b w:val="0"/>
                <w:bCs w:val="0"/>
                <w:color w:val="000000"/>
                <w:kern w:val="0"/>
                <w:sz w:val="24"/>
                <w:highlight w:val="none"/>
              </w:rPr>
            </w:pPr>
            <w:r>
              <w:rPr>
                <w:rFonts w:hint="eastAsia" w:ascii="仿宋" w:hAnsi="仿宋" w:eastAsia="仿宋" w:cs="仿宋"/>
                <w:b w:val="0"/>
                <w:bCs w:val="0"/>
                <w:color w:val="000000"/>
                <w:kern w:val="0"/>
                <w:sz w:val="24"/>
                <w:highlight w:val="none"/>
              </w:rPr>
              <w:t>　</w:t>
            </w:r>
          </w:p>
        </w:tc>
      </w:tr>
      <w:tr w14:paraId="0198351C">
        <w:tblPrEx>
          <w:tblCellMar>
            <w:top w:w="0" w:type="dxa"/>
            <w:left w:w="108" w:type="dxa"/>
            <w:bottom w:w="0" w:type="dxa"/>
            <w:right w:w="108" w:type="dxa"/>
          </w:tblCellMar>
        </w:tblPrEx>
        <w:trPr>
          <w:trHeight w:val="78" w:hRule="atLeast"/>
        </w:trPr>
        <w:tc>
          <w:tcPr>
            <w:tcW w:w="922" w:type="pct"/>
            <w:tcBorders>
              <w:top w:val="nil"/>
              <w:left w:val="single" w:color="auto" w:sz="8" w:space="0"/>
              <w:bottom w:val="single" w:color="auto" w:sz="4" w:space="0"/>
              <w:right w:val="nil"/>
            </w:tcBorders>
            <w:noWrap/>
            <w:vAlign w:val="center"/>
          </w:tcPr>
          <w:p w14:paraId="5A44CEAA">
            <w:pPr>
              <w:widowControl/>
              <w:jc w:val="lef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　</w:t>
            </w:r>
          </w:p>
        </w:tc>
        <w:tc>
          <w:tcPr>
            <w:tcW w:w="1349" w:type="pct"/>
            <w:tcBorders>
              <w:top w:val="nil"/>
              <w:left w:val="nil"/>
              <w:bottom w:val="single" w:color="auto" w:sz="4" w:space="0"/>
              <w:right w:val="nil"/>
            </w:tcBorders>
            <w:noWrap w:val="0"/>
            <w:vAlign w:val="bottom"/>
          </w:tcPr>
          <w:p w14:paraId="79A89CFE">
            <w:pPr>
              <w:widowControl/>
              <w:jc w:val="righ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年     月   日</w:t>
            </w:r>
          </w:p>
        </w:tc>
        <w:tc>
          <w:tcPr>
            <w:tcW w:w="1481" w:type="pct"/>
            <w:tcBorders>
              <w:top w:val="nil"/>
              <w:left w:val="single" w:color="auto" w:sz="4" w:space="0"/>
              <w:bottom w:val="single" w:color="auto" w:sz="4" w:space="0"/>
              <w:right w:val="nil"/>
            </w:tcBorders>
            <w:noWrap/>
            <w:vAlign w:val="center"/>
          </w:tcPr>
          <w:p w14:paraId="372FC124">
            <w:pPr>
              <w:widowControl/>
              <w:jc w:val="lef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　</w:t>
            </w:r>
          </w:p>
        </w:tc>
        <w:tc>
          <w:tcPr>
            <w:tcW w:w="1248" w:type="pct"/>
            <w:tcBorders>
              <w:top w:val="nil"/>
              <w:left w:val="nil"/>
              <w:bottom w:val="single" w:color="auto" w:sz="4" w:space="0"/>
              <w:right w:val="single" w:color="auto" w:sz="8" w:space="0"/>
            </w:tcBorders>
            <w:noWrap w:val="0"/>
            <w:vAlign w:val="bottom"/>
          </w:tcPr>
          <w:p w14:paraId="402857CD">
            <w:pPr>
              <w:widowControl/>
              <w:jc w:val="right"/>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年   月   日</w:t>
            </w:r>
          </w:p>
        </w:tc>
      </w:tr>
      <w:tr w14:paraId="235EEF88">
        <w:tblPrEx>
          <w:tblCellMar>
            <w:top w:w="0" w:type="dxa"/>
            <w:left w:w="108" w:type="dxa"/>
            <w:bottom w:w="0" w:type="dxa"/>
            <w:right w:w="108" w:type="dxa"/>
          </w:tblCellMar>
        </w:tblPrEx>
        <w:trPr>
          <w:trHeight w:val="603" w:hRule="atLeast"/>
        </w:trPr>
        <w:tc>
          <w:tcPr>
            <w:tcW w:w="5000" w:type="pct"/>
            <w:gridSpan w:val="4"/>
            <w:tcBorders>
              <w:top w:val="single" w:color="auto" w:sz="4" w:space="0"/>
              <w:left w:val="single" w:color="auto" w:sz="8" w:space="0"/>
              <w:bottom w:val="single" w:color="auto" w:sz="4" w:space="0"/>
              <w:right w:val="single" w:color="000000" w:sz="8" w:space="0"/>
            </w:tcBorders>
            <w:noWrap/>
            <w:vAlign w:val="center"/>
          </w:tcPr>
          <w:p w14:paraId="1AEB6F8C">
            <w:pPr>
              <w:widowControl/>
              <w:jc w:val="center"/>
              <w:rPr>
                <w:rFonts w:hint="eastAsia" w:ascii="仿宋" w:hAnsi="仿宋" w:eastAsia="仿宋" w:cs="仿宋"/>
                <w:b w:val="0"/>
                <w:bCs w:val="0"/>
                <w:color w:val="000000"/>
                <w:kern w:val="0"/>
                <w:sz w:val="22"/>
                <w:szCs w:val="22"/>
                <w:highlight w:val="none"/>
              </w:rPr>
            </w:pPr>
            <w:r>
              <w:rPr>
                <w:rFonts w:hint="eastAsia" w:ascii="仿宋" w:hAnsi="仿宋" w:eastAsia="仿宋" w:cs="仿宋"/>
                <w:b w:val="0"/>
                <w:bCs w:val="0"/>
                <w:color w:val="000000"/>
                <w:kern w:val="0"/>
                <w:sz w:val="22"/>
                <w:szCs w:val="22"/>
                <w:highlight w:val="none"/>
              </w:rPr>
              <w:t>采购内容</w:t>
            </w:r>
          </w:p>
        </w:tc>
      </w:tr>
      <w:tr w14:paraId="0D7D89DD">
        <w:tblPrEx>
          <w:tblCellMar>
            <w:top w:w="0" w:type="dxa"/>
            <w:left w:w="108" w:type="dxa"/>
            <w:bottom w:w="0" w:type="dxa"/>
            <w:right w:w="108" w:type="dxa"/>
          </w:tblCellMar>
        </w:tblPrEx>
        <w:trPr>
          <w:trHeight w:val="758" w:hRule="atLeast"/>
        </w:trPr>
        <w:tc>
          <w:tcPr>
            <w:tcW w:w="5000" w:type="pct"/>
            <w:gridSpan w:val="4"/>
            <w:tcBorders>
              <w:top w:val="single" w:color="auto" w:sz="4" w:space="0"/>
              <w:left w:val="single" w:color="auto" w:sz="8" w:space="0"/>
              <w:bottom w:val="single" w:color="auto" w:sz="8" w:space="0"/>
              <w:right w:val="single" w:color="000000" w:sz="8" w:space="0"/>
            </w:tcBorders>
            <w:noWrap w:val="0"/>
            <w:vAlign w:val="top"/>
          </w:tcPr>
          <w:p w14:paraId="3799ACB5">
            <w:pPr>
              <w:widowControl/>
              <w:jc w:val="center"/>
              <w:rPr>
                <w:rFonts w:hint="eastAsia" w:ascii="仿宋" w:hAnsi="仿宋" w:eastAsia="仿宋" w:cs="仿宋"/>
                <w:b w:val="0"/>
                <w:bCs w:val="0"/>
                <w:color w:val="FF0000"/>
                <w:kern w:val="0"/>
                <w:sz w:val="28"/>
                <w:szCs w:val="28"/>
                <w:highlight w:val="none"/>
              </w:rPr>
            </w:pPr>
            <w:r>
              <w:rPr>
                <w:rFonts w:hint="eastAsia" w:ascii="仿宋" w:hAnsi="仿宋" w:eastAsia="仿宋" w:cs="仿宋"/>
                <w:b/>
                <w:bCs/>
                <w:color w:val="000000"/>
                <w:kern w:val="0"/>
                <w:sz w:val="28"/>
                <w:szCs w:val="28"/>
                <w:highlight w:val="none"/>
              </w:rPr>
              <w:t>采购内容请列明品目、</w:t>
            </w:r>
            <w:r>
              <w:rPr>
                <w:rFonts w:hint="eastAsia" w:ascii="仿宋" w:hAnsi="仿宋" w:eastAsia="仿宋" w:cs="仿宋"/>
                <w:b/>
                <w:bCs/>
                <w:color w:val="000000"/>
                <w:kern w:val="0"/>
                <w:sz w:val="28"/>
                <w:szCs w:val="28"/>
                <w:highlight w:val="none"/>
                <w:lang w:val="en-US" w:eastAsia="zh-CN"/>
              </w:rPr>
              <w:t>品牌</w:t>
            </w:r>
            <w:r>
              <w:rPr>
                <w:rFonts w:hint="eastAsia" w:ascii="仿宋" w:hAnsi="仿宋" w:eastAsia="仿宋" w:cs="仿宋"/>
                <w:b/>
                <w:bCs/>
                <w:color w:val="000000"/>
                <w:kern w:val="0"/>
                <w:sz w:val="28"/>
                <w:szCs w:val="28"/>
                <w:highlight w:val="none"/>
              </w:rPr>
              <w:t>、型号、数量、单价、总价</w:t>
            </w:r>
          </w:p>
        </w:tc>
      </w:tr>
    </w:tbl>
    <w:p w14:paraId="1DDA1E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B68F1"/>
    <w:rsid w:val="0075359C"/>
    <w:rsid w:val="0C4019D9"/>
    <w:rsid w:val="177B68F1"/>
    <w:rsid w:val="1F345F2A"/>
    <w:rsid w:val="230C3F3A"/>
    <w:rsid w:val="240F5A90"/>
    <w:rsid w:val="24291700"/>
    <w:rsid w:val="2ACA2711"/>
    <w:rsid w:val="305A62E5"/>
    <w:rsid w:val="51D75590"/>
    <w:rsid w:val="52287B99"/>
    <w:rsid w:val="52EC6E19"/>
    <w:rsid w:val="57F16C7F"/>
    <w:rsid w:val="5CBB5FA3"/>
    <w:rsid w:val="6134408D"/>
    <w:rsid w:val="75776C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60" w:lineRule="auto"/>
      <w:ind w:firstLine="200" w:firstLineChars="200"/>
    </w:pPr>
    <w:rPr>
      <w:sz w:val="24"/>
      <w:szCs w:val="20"/>
    </w:rPr>
  </w:style>
  <w:style w:type="paragraph" w:styleId="4">
    <w:name w:val="toc 1"/>
    <w:basedOn w:val="1"/>
    <w:next w:val="1"/>
    <w:qFormat/>
    <w:uiPriority w:val="39"/>
    <w:pPr>
      <w:tabs>
        <w:tab w:val="right" w:leader="dot" w:pos="9344"/>
      </w:tabs>
      <w:spacing w:before="120" w:after="120" w:line="360" w:lineRule="auto"/>
      <w:jc w:val="left"/>
    </w:pPr>
    <w:rPr>
      <w:rFonts w:ascii="宋体"/>
      <w:b/>
      <w:bCs/>
      <w:caps/>
      <w:sz w:val="24"/>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样式 首行缩进:  2 字符"/>
    <w:basedOn w:val="1"/>
    <w:unhideWhenUsed/>
    <w:qFormat/>
    <w:uiPriority w:val="0"/>
    <w:pPr>
      <w:spacing w:line="400" w:lineRule="exact"/>
      <w:ind w:firstLine="200" w:firstLineChars="200"/>
    </w:pPr>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3139</Words>
  <Characters>3196</Characters>
  <Lines>0</Lines>
  <Paragraphs>0</Paragraphs>
  <TotalTime>1</TotalTime>
  <ScaleCrop>false</ScaleCrop>
  <LinksUpToDate>false</LinksUpToDate>
  <CharactersWithSpaces>3611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2025-12-05T08:41:00Z</dcterms:created>
  <dc:creator>LXL</dc:creator>
  <cp:lastModifiedBy>LXL</cp:lastModifiedBy>
  <dcterms:modified xsi:type="dcterms:W3CDTF">2025-12-05T10:57:28Z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C27482E7C5C341BE8E53C47B3A9F6950_11</vt:lpwstr>
  </property>
  <property fmtid="{D5CDD505-2E9C-101B-9397-08002B2CF9AE}" pid="4" name="KSOTemplateDocerSaveRecord">
    <vt:lpwstr>eyJoZGlkIjoiNzM4MTkxNzRlYmUxODI2NGVkYjM2NmFkN2VjYmQ4NWMiLCJ1c2VySWQiOiIzMjM5MjAwNzkifQ==</vt:lpwstr>
  </property>
</Properties>
</file>