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版本号：ZHCG-YZNCJ-2025120820251210001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铜川市耀州区高标准农田建设底数核查技术服务项目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ZHCG-YZNCJ-20251208</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铜川市耀州区高标准农田建设底数核查技术服务项目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ZHCG-YZNCJ-20251208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铜川市耀州区高标准农田建设底数核查技术服务项目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高标准农田整治部级专班和省市的文件要求结合《高标准农田底数核查技术方案》，需对铜川市耀州区各部门自2011至2024年建设完成的高标准农田建设项目进行项目列表、项目属性、项目矢量及项目附件等数据进行质量检查，确保数据规范、内容真实准确，夯实底数核查工作数据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采购包1（铜川市耀州区高标准农田建设底数核查技术服务项目）：属于专门面向中小企业采购。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2024年度完整的经审计的财务报告（成立时间至投标文件提交截止时间不足一年的可提供成立后任意时段的资产负债表），或提交自2025年1月1日以来银行（基本户开户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3、税收缴纳证明：提供响应文件提交截止时间前近六个月内至少一个月的纳税证明或完税证明（增值税，印花税，城市维护建设费，企业所得税等一种或多种税种），依法免税的单位应提供相关证明材料；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时间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5、履行合同的能力：提供具有履行本合同所必需的设备和专业技术能力的声明；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7、法定代表人授权书：须提供法定代表人授权书（法定代表人或负责人直接参与磋商，须提交法定代表人证明书）；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9、企业资质：供应商须具有行政主管部门颁发的测绘乙级（含乙级）和土地规划乙级及以上资质；</w:t>
      </w:r>
    </w:p>
    <w:p>
      <w:pPr>
        <w:pStyle w:val="null3"/>
      </w:pPr>
      <w:r>
        <w:rPr>
          <w:rFonts w:ascii="仿宋_GB2312" w:hAnsi="仿宋_GB2312" w:cs="仿宋_GB2312" w:eastAsia="仿宋_GB2312"/>
        </w:rPr>
        <w:t>10、项目负责人资质要求：拟派项目负责人须具备水利工程、土地规划或测绘相关专业中级及以上职称</w:t>
      </w:r>
    </w:p>
    <w:p>
      <w:pPr>
        <w:pStyle w:val="null3"/>
      </w:pPr>
      <w:r>
        <w:rPr>
          <w:rFonts w:ascii="仿宋_GB2312" w:hAnsi="仿宋_GB2312" w:cs="仿宋_GB2312" w:eastAsia="仿宋_GB2312"/>
        </w:rPr>
        <w:t>11、非联合体投标：本项目不接受联合体磋商。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13399296565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何智颖、李冲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代理服务费收费标准：根据陕西省网上中介服务超市中选金额15000.00元，招标代理服务费为人民币壹万伍仟元整(¥15000.00元)。由成交供应商支付招标代理服务费，发放成交通知书时一次性付清。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满足《高标准农田建设底数核查数据质量检查技术规则》《高标准农田建设底数核查底图制作规则》《高标准农田建设底数核查套合分析技术规则》《高标准农田建设底数核查数据安全管理技术规则》。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联系人：何智颖、李冲</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高标准农田整治部级专班和省市的文件要求结合《高标准农田底数核查技术方案》，需对铜川市耀州区各部门自2011至2024年建设完成的高标准农田建设项目进行项目列表、项目属性、项目矢量及项目附件等数据进行质量检查，确保数据规范、内容真实准确，夯实底数核查工作数据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1,570,000.00</w:t>
      </w:r>
    </w:p>
    <w:p>
      <w:pPr>
        <w:pStyle w:val="null3"/>
      </w:pPr>
      <w:r>
        <w:rPr>
          <w:rFonts w:ascii="仿宋_GB2312" w:hAnsi="仿宋_GB2312" w:cs="仿宋_GB2312" w:eastAsia="仿宋_GB2312"/>
        </w:rPr>
        <w:t>采购包最高限价（元）: 1,570,000.00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铜川市耀州区高标准农田建设底数核查技术服务项目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标的名称：铜川市耀州区高标准农田建设底数核查技术服务项目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right="1275" w:firstLine="484"/>
              <w:jc w:val="left"/>
            </w:pPr>
            <w:r>
              <w:rPr>
                <w:rFonts w:ascii="仿宋_GB2312" w:hAnsi="仿宋_GB2312" w:cs="仿宋_GB2312" w:eastAsia="仿宋_GB2312"/>
                <w:sz w:val="24"/>
                <w:color w:val="000000"/>
              </w:rPr>
              <w:t>为全面摸清我区高标准农田建设家底，准确掌握已建、</w:t>
            </w:r>
            <w:r>
              <w:rPr>
                <w:rFonts w:ascii="仿宋_GB2312" w:hAnsi="仿宋_GB2312" w:cs="仿宋_GB2312" w:eastAsia="仿宋_GB2312"/>
                <w:sz w:val="24"/>
                <w:color w:val="000000"/>
              </w:rPr>
              <w:t>在建和规划立项的高标准农田数量、质量、布局及管护利用</w:t>
            </w:r>
            <w:r>
              <w:rPr>
                <w:rFonts w:ascii="仿宋_GB2312" w:hAnsi="仿宋_GB2312" w:cs="仿宋_GB2312" w:eastAsia="仿宋_GB2312"/>
                <w:sz w:val="24"/>
                <w:color w:val="000000"/>
              </w:rPr>
              <w:t>状况，为下一步高标准农田的提质增效、统一管理和科学规</w:t>
            </w:r>
            <w:r>
              <w:rPr>
                <w:rFonts w:ascii="仿宋_GB2312" w:hAnsi="仿宋_GB2312" w:cs="仿宋_GB2312" w:eastAsia="仿宋_GB2312"/>
                <w:sz w:val="24"/>
                <w:color w:val="000000"/>
              </w:rPr>
              <w:t>划提供精准可靠的数据支撑，依据《高标准农田建设通则》</w:t>
            </w:r>
            <w:r>
              <w:rPr>
                <w:rFonts w:ascii="仿宋_GB2312" w:hAnsi="仿宋_GB2312" w:cs="仿宋_GB2312" w:eastAsia="仿宋_GB2312"/>
                <w:sz w:val="24"/>
                <w:color w:val="000000"/>
              </w:rPr>
              <w:t>(</w:t>
            </w:r>
            <w:r>
              <w:rPr>
                <w:rFonts w:ascii="仿宋_GB2312" w:hAnsi="仿宋_GB2312" w:cs="仿宋_GB2312" w:eastAsia="仿宋_GB2312"/>
                <w:sz w:val="24"/>
                <w:color w:val="000000"/>
              </w:rPr>
              <w:t>GB</w:t>
            </w:r>
            <w:r>
              <w:rPr>
                <w:rFonts w:ascii="仿宋_GB2312" w:hAnsi="仿宋_GB2312" w:cs="仿宋_GB2312" w:eastAsia="仿宋_GB2312"/>
                <w:sz w:val="24"/>
                <w:color w:val="000000"/>
              </w:rPr>
              <w:t>/T 30600)、《高标准农田建设底数核查数据质量检查技</w:t>
            </w:r>
            <w:r>
              <w:rPr>
                <w:rFonts w:ascii="仿宋_GB2312" w:hAnsi="仿宋_GB2312" w:cs="仿宋_GB2312" w:eastAsia="仿宋_GB2312"/>
                <w:sz w:val="24"/>
                <w:color w:val="000000"/>
              </w:rPr>
              <w:t>术规则》、《高标准农田建设底数核查底图制作技</w:t>
            </w:r>
            <w:r>
              <w:rPr>
                <w:rFonts w:ascii="仿宋_GB2312" w:hAnsi="仿宋_GB2312" w:cs="仿宋_GB2312" w:eastAsia="仿宋_GB2312"/>
                <w:sz w:val="24"/>
                <w:color w:val="000000"/>
              </w:rPr>
              <w:t>术规则》、</w:t>
            </w:r>
            <w:r>
              <w:rPr>
                <w:rFonts w:ascii="仿宋_GB2312" w:hAnsi="仿宋_GB2312" w:cs="仿宋_GB2312" w:eastAsia="仿宋_GB2312"/>
                <w:sz w:val="24"/>
                <w:color w:val="000000"/>
              </w:rPr>
              <w:t>《高标准农田建设底数核查数据套和分析技术规则》、《高标</w:t>
            </w:r>
            <w:r>
              <w:rPr>
                <w:rFonts w:ascii="仿宋_GB2312" w:hAnsi="仿宋_GB2312" w:cs="仿宋_GB2312" w:eastAsia="仿宋_GB2312"/>
                <w:sz w:val="24"/>
                <w:color w:val="000000"/>
              </w:rPr>
              <w:t>准农田建设底数核查数据安全管理技术规则》等规范要求，进行</w:t>
            </w:r>
            <w:r>
              <w:rPr>
                <w:rFonts w:ascii="仿宋_GB2312" w:hAnsi="仿宋_GB2312" w:cs="仿宋_GB2312" w:eastAsia="仿宋_GB2312"/>
                <w:sz w:val="24"/>
                <w:color w:val="000000"/>
              </w:rPr>
              <w:t>高标准农田建设底数核查技术服务。</w:t>
            </w:r>
          </w:p>
          <w:p>
            <w:pPr>
              <w:pStyle w:val="null3"/>
              <w:ind w:firstLine="482"/>
              <w:jc w:val="left"/>
            </w:pPr>
            <w:r>
              <w:rPr>
                <w:rFonts w:ascii="仿宋_GB2312" w:hAnsi="仿宋_GB2312" w:cs="仿宋_GB2312" w:eastAsia="仿宋_GB2312"/>
                <w:sz w:val="24"/>
                <w:b/>
                <w:color w:val="000000"/>
              </w:rPr>
              <w:t>核查范围与内容</w:t>
            </w:r>
          </w:p>
          <w:p>
            <w:pPr>
              <w:pStyle w:val="null3"/>
              <w:spacing w:before="150"/>
              <w:ind w:firstLine="548"/>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4"/>
                <w:color w:val="000000"/>
              </w:rPr>
              <w:t>)核查范围</w:t>
            </w:r>
          </w:p>
          <w:p>
            <w:pPr>
              <w:pStyle w:val="null3"/>
              <w:spacing w:before="135"/>
              <w:ind w:right="1515" w:firstLine="484"/>
              <w:jc w:val="left"/>
            </w:pPr>
            <w:r>
              <w:rPr>
                <w:rFonts w:ascii="仿宋_GB2312" w:hAnsi="仿宋_GB2312" w:cs="仿宋_GB2312" w:eastAsia="仿宋_GB2312"/>
                <w:sz w:val="24"/>
                <w:color w:val="000000"/>
              </w:rPr>
              <w:t>耀州区行政区域内所有由财政资金</w:t>
            </w:r>
            <w:r>
              <w:rPr>
                <w:rFonts w:ascii="仿宋_GB2312" w:hAnsi="仿宋_GB2312" w:cs="仿宋_GB2312" w:eastAsia="仿宋_GB2312"/>
                <w:sz w:val="24"/>
                <w:color w:val="000000"/>
              </w:rPr>
              <w:t>(包括中央、省、市、</w:t>
            </w:r>
            <w:r>
              <w:rPr>
                <w:rFonts w:ascii="仿宋_GB2312" w:hAnsi="仿宋_GB2312" w:cs="仿宋_GB2312" w:eastAsia="仿宋_GB2312"/>
                <w:sz w:val="24"/>
                <w:color w:val="000000"/>
              </w:rPr>
              <w:t>区级</w:t>
            </w:r>
            <w:r>
              <w:rPr>
                <w:rFonts w:ascii="仿宋_GB2312" w:hAnsi="仿宋_GB2312" w:cs="仿宋_GB2312" w:eastAsia="仿宋_GB2312"/>
                <w:sz w:val="24"/>
                <w:color w:val="000000"/>
              </w:rPr>
              <w:t>)投入建设的高标准农田项目。涵盖不同历史时期</w:t>
            </w:r>
            <w:r>
              <w:rPr>
                <w:rFonts w:ascii="仿宋_GB2312" w:hAnsi="仿宋_GB2312" w:cs="仿宋_GB2312" w:eastAsia="仿宋_GB2312"/>
                <w:sz w:val="24"/>
                <w:color w:val="000000"/>
              </w:rPr>
              <w:t>、不</w:t>
            </w:r>
            <w:r>
              <w:rPr>
                <w:rFonts w:ascii="仿宋_GB2312" w:hAnsi="仿宋_GB2312" w:cs="仿宋_GB2312" w:eastAsia="仿宋_GB2312"/>
                <w:sz w:val="24"/>
                <w:color w:val="000000"/>
              </w:rPr>
              <w:t>同投资渠道、不同主管部门组织建设的项目，确保全覆盖、</w:t>
            </w:r>
            <w:r>
              <w:rPr>
                <w:rFonts w:ascii="仿宋_GB2312" w:hAnsi="仿宋_GB2312" w:cs="仿宋_GB2312" w:eastAsia="仿宋_GB2312"/>
                <w:sz w:val="24"/>
                <w:color w:val="000000"/>
              </w:rPr>
              <w:t>无遗漏。</w:t>
            </w:r>
          </w:p>
          <w:p>
            <w:pPr>
              <w:pStyle w:val="null3"/>
              <w:ind w:firstLine="600"/>
              <w:jc w:val="left"/>
            </w:pPr>
            <w:r>
              <w:rPr>
                <w:rFonts w:ascii="仿宋_GB2312" w:hAnsi="仿宋_GB2312" w:cs="仿宋_GB2312" w:eastAsia="仿宋_GB2312"/>
                <w:sz w:val="24"/>
                <w:color w:val="000000"/>
              </w:rPr>
              <w:t>(二)核查内容</w:t>
            </w:r>
          </w:p>
          <w:p>
            <w:pPr>
              <w:pStyle w:val="null3"/>
              <w:spacing w:before="120"/>
              <w:ind w:right="1575" w:firstLine="512"/>
              <w:jc w:val="left"/>
            </w:pPr>
            <w:r>
              <w:rPr>
                <w:rFonts w:ascii="仿宋_GB2312" w:hAnsi="仿宋_GB2312" w:cs="仿宋_GB2312" w:eastAsia="仿宋_GB2312"/>
                <w:sz w:val="24"/>
                <w:color w:val="000000"/>
              </w:rPr>
              <w:t>1.项目基本信息：项目名称、立项批复文号、建设地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点</w:t>
            </w:r>
            <w:r>
              <w:rPr>
                <w:rFonts w:ascii="仿宋_GB2312" w:hAnsi="仿宋_GB2312" w:cs="仿宋_GB2312" w:eastAsia="仿宋_GB2312"/>
                <w:sz w:val="24"/>
                <w:color w:val="000000"/>
              </w:rPr>
              <w:t>(具体到镇、村)、建设主体、设计单位、施工</w:t>
            </w:r>
            <w:r>
              <w:rPr>
                <w:rFonts w:ascii="仿宋_GB2312" w:hAnsi="仿宋_GB2312" w:cs="仿宋_GB2312" w:eastAsia="仿宋_GB2312"/>
                <w:sz w:val="24"/>
                <w:color w:val="000000"/>
              </w:rPr>
              <w:t>单位、监</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理单位、建设期</w:t>
            </w:r>
            <w:r>
              <w:rPr>
                <w:rFonts w:ascii="仿宋_GB2312" w:hAnsi="仿宋_GB2312" w:cs="仿宋_GB2312" w:eastAsia="仿宋_GB2312"/>
                <w:sz w:val="24"/>
                <w:color w:val="000000"/>
              </w:rPr>
              <w:t>(开工、竣工时间)、总投资、亩均投资、</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验收情况等。</w:t>
            </w:r>
          </w:p>
          <w:p>
            <w:pPr>
              <w:pStyle w:val="null3"/>
              <w:spacing w:before="180"/>
              <w:ind w:firstLine="488"/>
              <w:jc w:val="left"/>
            </w:pPr>
            <w:r>
              <w:rPr>
                <w:rFonts w:ascii="仿宋_GB2312" w:hAnsi="仿宋_GB2312" w:cs="仿宋_GB2312" w:eastAsia="仿宋_GB2312"/>
                <w:sz w:val="24"/>
                <w:color w:val="000000"/>
              </w:rPr>
              <w:t>2.工程设施状况：</w:t>
            </w:r>
          </w:p>
          <w:p>
            <w:pPr>
              <w:pStyle w:val="null3"/>
              <w:spacing w:before="135"/>
              <w:ind w:right="1515" w:firstLine="504"/>
              <w:jc w:val="left"/>
            </w:pPr>
            <w:r>
              <w:rPr>
                <w:rFonts w:ascii="仿宋_GB2312" w:hAnsi="仿宋_GB2312" w:cs="仿宋_GB2312" w:eastAsia="仿宋_GB2312"/>
                <w:sz w:val="24"/>
                <w:color w:val="000000"/>
              </w:rPr>
              <w:t>田块整治：平整度、田块大小、形状、权属调整情况。</w:t>
            </w:r>
            <w:r>
              <w:rPr>
                <w:rFonts w:ascii="仿宋_GB2312" w:hAnsi="仿宋_GB2312" w:cs="仿宋_GB2312" w:eastAsia="仿宋_GB2312"/>
                <w:sz w:val="21"/>
                <w:color w:val="000000"/>
              </w:rPr>
              <w:t xml:space="preserve"> </w:t>
            </w:r>
          </w:p>
          <w:p>
            <w:pPr>
              <w:pStyle w:val="null3"/>
              <w:spacing w:before="135"/>
              <w:ind w:right="1515" w:firstLine="504"/>
              <w:jc w:val="left"/>
            </w:pPr>
            <w:r>
              <w:rPr>
                <w:rFonts w:ascii="仿宋_GB2312" w:hAnsi="仿宋_GB2312" w:cs="仿宋_GB2312" w:eastAsia="仿宋_GB2312"/>
                <w:sz w:val="24"/>
                <w:color w:val="000000"/>
              </w:rPr>
              <w:t>土壤改良：土壤质地、肥力水平、障碍因素消除情况。</w:t>
            </w:r>
          </w:p>
          <w:p>
            <w:pPr>
              <w:pStyle w:val="null3"/>
              <w:ind w:right="1515" w:firstLine="544"/>
              <w:jc w:val="left"/>
            </w:pPr>
            <w:r>
              <w:rPr>
                <w:rFonts w:ascii="仿宋_GB2312" w:hAnsi="仿宋_GB2312" w:cs="仿宋_GB2312" w:eastAsia="仿宋_GB2312"/>
                <w:sz w:val="24"/>
                <w:color w:val="000000"/>
              </w:rPr>
              <w:t>灌溉与排水：水源工程、渠</w:t>
            </w:r>
            <w:r>
              <w:rPr>
                <w:rFonts w:ascii="仿宋_GB2312" w:hAnsi="仿宋_GB2312" w:cs="仿宋_GB2312" w:eastAsia="仿宋_GB2312"/>
                <w:sz w:val="24"/>
                <w:color w:val="000000"/>
              </w:rPr>
              <w:t>(管)道完好率与通畅性、</w:t>
            </w:r>
            <w:r>
              <w:rPr>
                <w:rFonts w:ascii="仿宋_GB2312" w:hAnsi="仿宋_GB2312" w:cs="仿宋_GB2312" w:eastAsia="仿宋_GB2312"/>
                <w:sz w:val="24"/>
                <w:color w:val="000000"/>
              </w:rPr>
              <w:t>泵站运行状态、排水沟渠淤积与损毁情况。</w:t>
            </w:r>
          </w:p>
          <w:p>
            <w:pPr>
              <w:pStyle w:val="null3"/>
              <w:ind w:right="1635" w:firstLine="524"/>
              <w:jc w:val="left"/>
            </w:pPr>
            <w:r>
              <w:rPr>
                <w:rFonts w:ascii="仿宋_GB2312" w:hAnsi="仿宋_GB2312" w:cs="仿宋_GB2312" w:eastAsia="仿宋_GB2312"/>
                <w:sz w:val="24"/>
                <w:color w:val="000000"/>
              </w:rPr>
              <w:t>田间道路：道路类型</w:t>
            </w:r>
            <w:r>
              <w:rPr>
                <w:rFonts w:ascii="仿宋_GB2312" w:hAnsi="仿宋_GB2312" w:cs="仿宋_GB2312" w:eastAsia="仿宋_GB2312"/>
                <w:sz w:val="24"/>
                <w:color w:val="000000"/>
              </w:rPr>
              <w:t>(机耕路、生产路)、</w:t>
            </w:r>
            <w:r>
              <w:rPr>
                <w:rFonts w:ascii="仿宋_GB2312" w:hAnsi="仿宋_GB2312" w:cs="仿宋_GB2312" w:eastAsia="仿宋_GB2312"/>
                <w:sz w:val="24"/>
                <w:color w:val="000000"/>
              </w:rPr>
              <w:t>路面状况、</w:t>
            </w:r>
            <w:r>
              <w:rPr>
                <w:rFonts w:ascii="仿宋_GB2312" w:hAnsi="仿宋_GB2312" w:cs="仿宋_GB2312" w:eastAsia="仿宋_GB2312"/>
                <w:sz w:val="24"/>
                <w:color w:val="000000"/>
              </w:rPr>
              <w:t>宽度、通达度。</w:t>
            </w:r>
          </w:p>
          <w:p>
            <w:pPr>
              <w:pStyle w:val="null3"/>
              <w:ind w:right="1605" w:firstLine="572"/>
              <w:jc w:val="left"/>
            </w:pPr>
            <w:r>
              <w:rPr>
                <w:rFonts w:ascii="仿宋_GB2312" w:hAnsi="仿宋_GB2312" w:cs="仿宋_GB2312" w:eastAsia="仿宋_GB2312"/>
                <w:sz w:val="24"/>
                <w:color w:val="000000"/>
              </w:rPr>
              <w:t>农田防护与生态环境保持：防护林</w:t>
            </w:r>
            <w:r>
              <w:rPr>
                <w:rFonts w:ascii="仿宋_GB2312" w:hAnsi="仿宋_GB2312" w:cs="仿宋_GB2312" w:eastAsia="仿宋_GB2312"/>
                <w:sz w:val="24"/>
                <w:color w:val="000000"/>
              </w:rPr>
              <w:t>(网)完好率、岸</w:t>
            </w:r>
            <w:r>
              <w:rPr>
                <w:rFonts w:ascii="仿宋_GB2312" w:hAnsi="仿宋_GB2312" w:cs="仿宋_GB2312" w:eastAsia="仿宋_GB2312"/>
                <w:sz w:val="24"/>
                <w:color w:val="000000"/>
              </w:rPr>
              <w:t>坡防护状况。</w:t>
            </w:r>
          </w:p>
          <w:p>
            <w:pPr>
              <w:pStyle w:val="null3"/>
              <w:spacing w:before="135"/>
              <w:ind w:firstLine="536"/>
            </w:pPr>
            <w:r>
              <w:rPr>
                <w:rFonts w:ascii="仿宋_GB2312" w:hAnsi="仿宋_GB2312" w:cs="仿宋_GB2312" w:eastAsia="仿宋_GB2312"/>
                <w:sz w:val="24"/>
                <w:color w:val="000000"/>
              </w:rPr>
              <w:t>科技服务：有无配套地力监测、墒情监测、病虫害监</w:t>
            </w:r>
            <w:r>
              <w:rPr>
                <w:rFonts w:ascii="仿宋_GB2312" w:hAnsi="仿宋_GB2312" w:cs="仿宋_GB2312" w:eastAsia="仿宋_GB2312"/>
                <w:sz w:val="24"/>
                <w:color w:val="000000"/>
              </w:rPr>
              <w:t>测等设施及其运行情况。</w:t>
            </w:r>
          </w:p>
          <w:p>
            <w:pPr>
              <w:pStyle w:val="null3"/>
              <w:spacing w:before="165"/>
              <w:ind w:right="195" w:firstLine="480"/>
              <w:jc w:val="left"/>
            </w:pPr>
            <w:r>
              <w:rPr>
                <w:rFonts w:ascii="仿宋_GB2312" w:hAnsi="仿宋_GB2312" w:cs="仿宋_GB2312" w:eastAsia="仿宋_GB2312"/>
                <w:sz w:val="24"/>
                <w:color w:val="000000"/>
              </w:rPr>
              <w:t>3.空间信息：项目区边界拐点坐标、确界面积、与“三</w:t>
            </w:r>
            <w:r>
              <w:rPr>
                <w:rFonts w:ascii="仿宋_GB2312" w:hAnsi="仿宋_GB2312" w:cs="仿宋_GB2312" w:eastAsia="仿宋_GB2312"/>
                <w:sz w:val="24"/>
                <w:color w:val="000000"/>
              </w:rPr>
              <w:t>区三线</w:t>
            </w:r>
            <w:r>
              <w:rPr>
                <w:rFonts w:ascii="仿宋_GB2312" w:hAnsi="仿宋_GB2312" w:cs="仿宋_GB2312" w:eastAsia="仿宋_GB2312"/>
                <w:sz w:val="24"/>
                <w:color w:val="000000"/>
              </w:rPr>
              <w:t>”等空间规划的一致性、是否按要求上图入</w:t>
            </w:r>
            <w:r>
              <w:rPr>
                <w:rFonts w:ascii="仿宋_GB2312" w:hAnsi="仿宋_GB2312" w:cs="仿宋_GB2312" w:eastAsia="仿宋_GB2312"/>
                <w:sz w:val="24"/>
                <w:color w:val="000000"/>
              </w:rPr>
              <w:t>库。</w:t>
            </w:r>
          </w:p>
          <w:p>
            <w:pPr>
              <w:pStyle w:val="null3"/>
              <w:spacing w:before="165"/>
              <w:ind w:right="15" w:firstLine="492"/>
              <w:jc w:val="left"/>
            </w:pPr>
            <w:r>
              <w:rPr>
                <w:rFonts w:ascii="仿宋_GB2312" w:hAnsi="仿宋_GB2312" w:cs="仿宋_GB2312" w:eastAsia="仿宋_GB2312"/>
                <w:sz w:val="24"/>
                <w:color w:val="000000"/>
              </w:rPr>
              <w:t>4.质量与产能状况：参照《耕地质量等级</w:t>
            </w:r>
            <w:r>
              <w:rPr>
                <w:rFonts w:ascii="仿宋_GB2312" w:hAnsi="仿宋_GB2312" w:cs="仿宋_GB2312" w:eastAsia="仿宋_GB2312"/>
                <w:sz w:val="24"/>
                <w:color w:val="000000"/>
              </w:rPr>
              <w:t>》标准，评</w:t>
            </w:r>
            <w:r>
              <w:rPr>
                <w:rFonts w:ascii="仿宋_GB2312" w:hAnsi="仿宋_GB2312" w:cs="仿宋_GB2312" w:eastAsia="仿宋_GB2312"/>
                <w:sz w:val="24"/>
                <w:color w:val="000000"/>
              </w:rPr>
              <w:t>估项目区耕地质量等级及变化情况，了解主要作物产量</w:t>
            </w:r>
            <w:r>
              <w:rPr>
                <w:rFonts w:ascii="仿宋_GB2312" w:hAnsi="仿宋_GB2312" w:cs="仿宋_GB2312" w:eastAsia="仿宋_GB2312"/>
                <w:sz w:val="24"/>
                <w:color w:val="000000"/>
              </w:rPr>
              <w:t>水平。</w:t>
            </w:r>
          </w:p>
          <w:p>
            <w:pPr>
              <w:pStyle w:val="null3"/>
              <w:spacing w:before="165"/>
              <w:ind w:right="165" w:firstLine="496"/>
              <w:jc w:val="left"/>
            </w:pPr>
            <w:r>
              <w:rPr>
                <w:rFonts w:ascii="仿宋_GB2312" w:hAnsi="仿宋_GB2312" w:cs="仿宋_GB2312" w:eastAsia="仿宋_GB2312"/>
                <w:sz w:val="24"/>
                <w:color w:val="000000"/>
              </w:rPr>
              <w:t>5.管护利用状况：管护主体和责任是否落实、管护资</w:t>
            </w:r>
            <w:r>
              <w:rPr>
                <w:rFonts w:ascii="仿宋_GB2312" w:hAnsi="仿宋_GB2312" w:cs="仿宋_GB2312" w:eastAsia="仿宋_GB2312"/>
                <w:sz w:val="24"/>
                <w:color w:val="000000"/>
              </w:rPr>
              <w:t>金是否有保障、设施设备维修是否及时、是否存在撂荒、非</w:t>
            </w:r>
            <w:r>
              <w:rPr>
                <w:rFonts w:ascii="仿宋_GB2312" w:hAnsi="仿宋_GB2312" w:cs="仿宋_GB2312" w:eastAsia="仿宋_GB2312"/>
                <w:sz w:val="24"/>
                <w:color w:val="000000"/>
              </w:rPr>
              <w:t>粮化、非农化现象。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供应商须根据本次服务要求，配备有足够的相关专业技术人员。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供应商须根据本次服务要求，配备有足够的相关专业设备。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准：满足《高标准农田建设底数核查数据质量检查技术规则》《高标准农田建设底数核查底图制作规则》《高标准农田建设底数核查套合分析技术规则》《高标准农田建设底数核查数据安全管理技术规则》方法：满足国家、省、市相关规定及行业现行技术标准、规范要求。本项目的验收以项目采购文件、响应文件、合同书、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数据库建设完成并提交甲方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外业调查完成后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1、报价含完成任务所需的税费、核查规划费、人工费、交通费、专家费、租车费、资料费等所有费用。 2、合同其他条款：因资金拨款审批程序等原因，具体支付进度需结合采购人资金到账情况而定，供应商需预见且接受该情况。合同其他条款根据采购文件、响应文件及合同约定执行。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经审计的财务报告（成立时间至投标文件提交截止时间不足一年的可提供成立后任意时段的资产负债表），或提交自2025年1月1日以来银行（基本户开户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须提供法定代表人授权书（法定代表人或负责人直接参与磋商，须提交法定代表人证明书）；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供应商须具有行政主管部门颁发的测绘乙级（含乙级）和土地规划乙级及以上资质；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拟派项目负责人须具备水利工程、土地规划或测绘相关专业中级及以上职称</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 签字齐全并加盖公章</w:t>
            </w:r>
          </w:p>
        </w:tc>
        <w:tc>
          <w:tcPr>
            <w:tcW w:type="dxa" w:w="1661"/>
          </w:tcPr>
          <w:p>
            <w:pPr>
              <w:pStyle w:val="null3"/>
            </w:pPr>
            <w:r>
              <w:rPr>
                <w:rFonts w:ascii="仿宋_GB2312" w:hAnsi="仿宋_GB2312" w:cs="仿宋_GB2312" w:eastAsia="仿宋_GB2312"/>
              </w:rPr>
              <w:t>响应文件封面 服务内容及服务邀请应答表 服务方案.pdf 中小企业声明函 商务应答表 标的清单 报价表 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服务方案.pdf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 ① 技术路线； ② 标准与规范执行； ③ 组织架构； ④ 服务体系建设等内容进行综合评审：每符合一项得 4 分，部分符合得 2 分，不符合或未提供不得分，共 16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根据供应商提供的： ① 项目现状分析； ② 重点、难点阐述； ③ 解决方案； ④ 技术实力保障等内容进行综合评审：每符合一项得 3 分，部分符合得 1.5分，不符合或未提供不得分，共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根据供应商提供的： ① 质量保障目标； ② 主要的质量控制点； ③ 质量保障体系及措施； ④ 通过市、省级核查的保障等内容进行综合评审：每符合一项得 3分，部分符合得1.5分，不符合或未提供不得分，共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根据供应商提供的： ① 进度目标； ② 设备保障能力； ③ 人员保障计划； ④ 应急处理预案等内容进行综合评审：每符合一项得 3 分，部分符合得 1.5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项目负责人具有水利工程或土地规划或测绘相关专业高级及以上职称得 4 分，中级职称得 2 分，本项最高 4 分； 2. 拟为本项目配备的其他人员中（除项目负责人）每增加一名水利工程或土地规划或测绘相关专业中级职称得3 分，本项最高 6 分； 3. 拟为本项目配备的其他人员中（除项目负责人）具有测绘地理信息涉密人员资格证书、涉密测绘成果或地理信息安全保密岗位培训证书，每提供一个上述证书得 2 分，本项满分 4 分。同一人同时具有多个上述证书仅计分一次。</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售后服务承诺及能力</w:t>
            </w:r>
          </w:p>
        </w:tc>
        <w:tc>
          <w:tcPr>
            <w:tcW w:type="dxa" w:w="2492"/>
          </w:tcPr>
          <w:p>
            <w:pPr>
              <w:pStyle w:val="null3"/>
            </w:pPr>
            <w:r>
              <w:rPr>
                <w:rFonts w:ascii="仿宋_GB2312" w:hAnsi="仿宋_GB2312" w:cs="仿宋_GB2312" w:eastAsia="仿宋_GB2312"/>
              </w:rPr>
              <w:t>根据供应商提供的： ① 售后技术服务方案及措施； ② 售后服务承诺； ③ 供应商承诺的响应时间等内容进行综合评审：每符合一项得 4 分，部分符合得2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供应商提供2022年1月1日至今的高标准农田项目相关业绩，每提供一项业绩得3分，满分得12 分。注： 以业绩合同为准，附合同关键页（应包含合同首页、采购内容、金额所在页和签字盖章页及合同签订日期页等）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1.经资格性及符合性审查合格的磋商响应文件，其磋商报价为有效磋商报价。 2.满足竞争性磋商文件实质性要求且最后报价最低的供应商的价格为磋商基准价，其价格分为满分10分。 3.磋商报价得分=（磋商基准价/最后磋商报价）×10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