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D7384">
      <w:pPr>
        <w:jc w:val="center"/>
        <w:outlineLvl w:val="0"/>
        <w:rPr>
          <w:rStyle w:val="10"/>
          <w:rFonts w:hint="eastAsia" w:ascii="仿宋" w:hAnsi="仿宋" w:eastAsia="仿宋" w:cs="仿宋"/>
          <w:szCs w:val="22"/>
          <w:lang w:val="en-US" w:eastAsia="zh-CN"/>
        </w:rPr>
      </w:pPr>
      <w:r>
        <w:rPr>
          <w:rStyle w:val="10"/>
          <w:rFonts w:hint="eastAsia" w:ascii="仿宋" w:hAnsi="仿宋" w:eastAsia="仿宋" w:cs="仿宋"/>
        </w:rPr>
        <w:t>合</w:t>
      </w:r>
      <w:r>
        <w:rPr>
          <w:rStyle w:val="10"/>
          <w:rFonts w:hint="eastAsia" w:ascii="仿宋" w:hAnsi="仿宋" w:eastAsia="仿宋" w:cs="仿宋"/>
          <w:lang w:val="en-US" w:eastAsia="zh-CN"/>
        </w:rPr>
        <w:t xml:space="preserve"> </w:t>
      </w:r>
      <w:r>
        <w:rPr>
          <w:rStyle w:val="10"/>
          <w:rFonts w:hint="eastAsia" w:ascii="仿宋" w:hAnsi="仿宋" w:eastAsia="仿宋" w:cs="仿宋"/>
        </w:rPr>
        <w:t>同</w:t>
      </w:r>
      <w:r>
        <w:rPr>
          <w:rStyle w:val="10"/>
          <w:rFonts w:hint="eastAsia" w:ascii="仿宋" w:hAnsi="仿宋" w:eastAsia="仿宋" w:cs="仿宋"/>
          <w:lang w:val="en-US" w:eastAsia="zh-CN"/>
        </w:rPr>
        <w:t xml:space="preserve"> </w:t>
      </w:r>
      <w:r>
        <w:rPr>
          <w:rStyle w:val="10"/>
          <w:rFonts w:hint="eastAsia" w:ascii="仿宋" w:hAnsi="仿宋" w:eastAsia="仿宋" w:cs="仿宋"/>
          <w:szCs w:val="22"/>
          <w:lang w:val="en-US" w:eastAsia="zh-CN"/>
        </w:rPr>
        <w:t>文 本</w:t>
      </w:r>
    </w:p>
    <w:p w14:paraId="08DC62DD">
      <w:pPr>
        <w:rPr>
          <w:rFonts w:hint="eastAsia" w:ascii="仿宋" w:hAnsi="仿宋" w:eastAsia="仿宋" w:cs="仿宋"/>
          <w:bCs/>
          <w:sz w:val="32"/>
          <w:szCs w:val="32"/>
        </w:rPr>
      </w:pPr>
    </w:p>
    <w:p w14:paraId="11871E38">
      <w:pPr>
        <w:spacing w:before="120" w:line="360" w:lineRule="auto"/>
        <w:jc w:val="center"/>
        <w:rPr>
          <w:rFonts w:hint="eastAsia" w:ascii="仿宋" w:hAnsi="仿宋" w:eastAsia="仿宋" w:cs="仿宋"/>
          <w:sz w:val="28"/>
          <w:szCs w:val="28"/>
        </w:rPr>
      </w:pPr>
      <w:bookmarkStart w:id="0" w:name="_Toc9523"/>
      <w:bookmarkStart w:id="1" w:name="_Toc23019"/>
      <w:bookmarkStart w:id="2" w:name="_Toc23426"/>
      <w:r>
        <w:rPr>
          <w:rFonts w:hint="eastAsia" w:ascii="仿宋" w:hAnsi="仿宋" w:eastAsia="仿宋" w:cs="仿宋"/>
          <w:sz w:val="28"/>
          <w:szCs w:val="28"/>
        </w:rPr>
        <w:t>（参考格式）</w:t>
      </w:r>
    </w:p>
    <w:p w14:paraId="57EC0197">
      <w:pPr>
        <w:spacing w:before="120" w:line="360" w:lineRule="auto"/>
        <w:jc w:val="center"/>
        <w:rPr>
          <w:rFonts w:hint="eastAsia" w:ascii="仿宋" w:hAnsi="仿宋" w:eastAsia="仿宋" w:cs="仿宋"/>
          <w:b/>
          <w:bCs/>
          <w:sz w:val="36"/>
          <w:szCs w:val="36"/>
        </w:rPr>
      </w:pPr>
    </w:p>
    <w:p w14:paraId="36F28B70">
      <w:pPr>
        <w:spacing w:before="120" w:line="360" w:lineRule="auto"/>
        <w:jc w:val="center"/>
        <w:rPr>
          <w:rFonts w:hint="eastAsia" w:ascii="仿宋" w:hAnsi="仿宋" w:eastAsia="仿宋" w:cs="仿宋"/>
          <w:b/>
          <w:bCs/>
          <w:sz w:val="36"/>
          <w:szCs w:val="36"/>
        </w:rPr>
      </w:pPr>
    </w:p>
    <w:p w14:paraId="462F13DE">
      <w:pPr>
        <w:spacing w:before="120" w:line="360" w:lineRule="auto"/>
        <w:jc w:val="center"/>
        <w:rPr>
          <w:rFonts w:hint="eastAsia" w:ascii="仿宋" w:hAnsi="仿宋" w:eastAsia="仿宋" w:cs="仿宋"/>
          <w:b/>
          <w:bCs/>
          <w:sz w:val="36"/>
          <w:szCs w:val="36"/>
        </w:rPr>
      </w:pPr>
    </w:p>
    <w:p w14:paraId="2A286086">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14:paraId="06474FC9">
      <w:pPr>
        <w:spacing w:before="120" w:line="360" w:lineRule="auto"/>
        <w:ind w:firstLine="3064" w:firstLineChars="1090"/>
        <w:rPr>
          <w:rFonts w:hint="eastAsia" w:ascii="仿宋" w:hAnsi="仿宋" w:eastAsia="仿宋" w:cs="仿宋"/>
          <w:b/>
          <w:bCs/>
          <w:sz w:val="28"/>
          <w:szCs w:val="28"/>
        </w:rPr>
      </w:pPr>
      <w:bookmarkStart w:id="3" w:name="_Toc109543216"/>
      <w:bookmarkStart w:id="4" w:name="_Toc109542396"/>
    </w:p>
    <w:p w14:paraId="0493484D">
      <w:pPr>
        <w:spacing w:before="120" w:line="360" w:lineRule="auto"/>
        <w:ind w:firstLine="3064" w:firstLineChars="1090"/>
        <w:rPr>
          <w:rFonts w:hint="eastAsia" w:ascii="仿宋" w:hAnsi="仿宋" w:eastAsia="仿宋" w:cs="仿宋"/>
          <w:sz w:val="28"/>
          <w:szCs w:val="28"/>
        </w:rPr>
      </w:pPr>
      <w:r>
        <w:rPr>
          <w:rFonts w:hint="eastAsia" w:ascii="仿宋" w:hAnsi="仿宋" w:eastAsia="仿宋" w:cs="仿宋"/>
          <w:b/>
          <w:bCs/>
          <w:sz w:val="28"/>
          <w:szCs w:val="28"/>
        </w:rPr>
        <w:t>合同编号：</w:t>
      </w:r>
      <w:bookmarkEnd w:id="3"/>
      <w:bookmarkEnd w:id="4"/>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14:paraId="5ADF00FE">
      <w:pPr>
        <w:spacing w:before="120" w:line="360" w:lineRule="auto"/>
        <w:rPr>
          <w:rFonts w:hint="eastAsia" w:ascii="仿宋" w:hAnsi="仿宋" w:eastAsia="仿宋" w:cs="仿宋"/>
          <w:sz w:val="28"/>
          <w:szCs w:val="28"/>
        </w:rPr>
      </w:pPr>
    </w:p>
    <w:p w14:paraId="2987520A">
      <w:pPr>
        <w:spacing w:before="120" w:line="360" w:lineRule="auto"/>
        <w:rPr>
          <w:rFonts w:hint="eastAsia" w:ascii="仿宋" w:hAnsi="仿宋" w:eastAsia="仿宋" w:cs="仿宋"/>
          <w:sz w:val="28"/>
          <w:szCs w:val="28"/>
        </w:rPr>
      </w:pPr>
    </w:p>
    <w:p w14:paraId="2A2CAF05">
      <w:pPr>
        <w:pStyle w:val="4"/>
        <w:rPr>
          <w:rFonts w:hint="eastAsia" w:ascii="仿宋" w:hAnsi="仿宋" w:eastAsia="仿宋" w:cs="仿宋"/>
          <w:sz w:val="28"/>
          <w:szCs w:val="28"/>
        </w:rPr>
      </w:pPr>
    </w:p>
    <w:p w14:paraId="2929C414">
      <w:pPr>
        <w:pStyle w:val="4"/>
        <w:rPr>
          <w:rFonts w:hint="eastAsia" w:ascii="仿宋" w:hAnsi="仿宋" w:eastAsia="仿宋" w:cs="仿宋"/>
          <w:sz w:val="28"/>
          <w:szCs w:val="28"/>
        </w:rPr>
      </w:pPr>
    </w:p>
    <w:p w14:paraId="67DED2BE">
      <w:pPr>
        <w:spacing w:line="600" w:lineRule="auto"/>
        <w:rPr>
          <w:rFonts w:hint="eastAsia" w:ascii="仿宋" w:hAnsi="仿宋" w:eastAsia="仿宋" w:cs="仿宋"/>
          <w:b w:val="0"/>
          <w:bCs w:val="0"/>
          <w:sz w:val="28"/>
          <w:szCs w:val="28"/>
          <w:u w:val="none"/>
          <w:lang w:eastAsia="zh-CN"/>
        </w:rPr>
      </w:pPr>
      <w:r>
        <w:rPr>
          <w:rFonts w:hint="eastAsia" w:ascii="仿宋" w:hAnsi="仿宋" w:eastAsia="仿宋" w:cs="仿宋"/>
          <w:b/>
          <w:bCs/>
          <w:sz w:val="28"/>
          <w:szCs w:val="28"/>
        </w:rPr>
        <w:t>项目名称：</w:t>
      </w:r>
      <w:r>
        <w:rPr>
          <w:rFonts w:hint="eastAsia" w:ascii="仿宋" w:hAnsi="仿宋" w:eastAsia="仿宋" w:cs="仿宋"/>
          <w:b w:val="0"/>
          <w:bCs w:val="0"/>
          <w:sz w:val="28"/>
          <w:szCs w:val="28"/>
          <w:u w:val="none"/>
          <w:lang w:eastAsia="zh-CN"/>
        </w:rPr>
        <w:t>关于采购4K超高清腔镜设备项目</w:t>
      </w:r>
    </w:p>
    <w:p w14:paraId="579CF27F">
      <w:pPr>
        <w:spacing w:line="600" w:lineRule="auto"/>
        <w:rPr>
          <w:rFonts w:hint="eastAsia" w:ascii="仿宋" w:hAnsi="仿宋" w:eastAsia="仿宋" w:cs="仿宋"/>
          <w:b w:val="0"/>
          <w:bCs w:val="0"/>
          <w:sz w:val="28"/>
          <w:szCs w:val="28"/>
          <w:u w:val="none"/>
          <w:lang w:eastAsia="zh-CN"/>
        </w:rPr>
      </w:pPr>
      <w:r>
        <w:rPr>
          <w:rFonts w:hint="eastAsia" w:ascii="仿宋" w:hAnsi="仿宋" w:eastAsia="仿宋" w:cs="仿宋"/>
          <w:b/>
          <w:bCs/>
          <w:sz w:val="28"/>
          <w:szCs w:val="28"/>
          <w:lang w:eastAsia="zh-CN"/>
        </w:rPr>
        <w:t>采</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购</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人</w:t>
      </w:r>
      <w:r>
        <w:rPr>
          <w:rFonts w:hint="eastAsia" w:ascii="仿宋" w:hAnsi="仿宋" w:eastAsia="仿宋" w:cs="仿宋"/>
          <w:b/>
          <w:bCs/>
          <w:sz w:val="28"/>
          <w:szCs w:val="28"/>
        </w:rPr>
        <w:t>：</w:t>
      </w:r>
      <w:r>
        <w:rPr>
          <w:rFonts w:hint="eastAsia" w:ascii="仿宋" w:hAnsi="仿宋" w:eastAsia="仿宋" w:cs="仿宋"/>
          <w:b w:val="0"/>
          <w:bCs w:val="0"/>
          <w:sz w:val="28"/>
          <w:szCs w:val="28"/>
          <w:u w:val="none"/>
          <w:lang w:eastAsia="zh-CN"/>
        </w:rPr>
        <w:t>铜川市耀州区人民医院</w:t>
      </w:r>
    </w:p>
    <w:p w14:paraId="3AFA9084">
      <w:pPr>
        <w:spacing w:line="600" w:lineRule="auto"/>
        <w:rPr>
          <w:rFonts w:hint="eastAsia" w:ascii="仿宋" w:hAnsi="仿宋" w:eastAsia="仿宋" w:cs="仿宋"/>
          <w:b/>
          <w:bCs/>
          <w:sz w:val="28"/>
          <w:szCs w:val="28"/>
        </w:rPr>
      </w:pPr>
      <w:r>
        <w:rPr>
          <w:rFonts w:hint="eastAsia" w:ascii="仿宋" w:hAnsi="仿宋" w:eastAsia="仿宋" w:cs="仿宋"/>
          <w:b/>
          <w:bCs/>
          <w:sz w:val="28"/>
          <w:szCs w:val="28"/>
          <w:lang w:eastAsia="zh-CN"/>
        </w:rPr>
        <w:t>供 应 商</w:t>
      </w:r>
      <w:r>
        <w:rPr>
          <w:rFonts w:hint="eastAsia" w:ascii="仿宋" w:hAnsi="仿宋" w:eastAsia="仿宋" w:cs="仿宋"/>
          <w:b/>
          <w:bCs/>
          <w:sz w:val="28"/>
          <w:szCs w:val="28"/>
        </w:rPr>
        <w:t xml:space="preserve">：                   </w:t>
      </w:r>
    </w:p>
    <w:p w14:paraId="293AAA9C">
      <w:pPr>
        <w:spacing w:line="600" w:lineRule="auto"/>
        <w:rPr>
          <w:rFonts w:hint="eastAsia" w:ascii="仿宋" w:hAnsi="仿宋" w:eastAsia="仿宋" w:cs="仿宋"/>
          <w:b w:val="0"/>
          <w:bCs w:val="0"/>
          <w:sz w:val="24"/>
          <w:szCs w:val="24"/>
        </w:rPr>
      </w:pPr>
      <w:r>
        <w:rPr>
          <w:rFonts w:hint="eastAsia" w:ascii="仿宋" w:hAnsi="仿宋" w:eastAsia="仿宋" w:cs="仿宋"/>
          <w:b/>
          <w:bCs/>
          <w:sz w:val="28"/>
          <w:szCs w:val="28"/>
        </w:rPr>
        <w:t>签署日期：</w:t>
      </w:r>
      <w:r>
        <w:rPr>
          <w:rFonts w:hint="eastAsia" w:ascii="仿宋" w:hAnsi="仿宋" w:eastAsia="仿宋" w:cs="仿宋"/>
          <w:b w:val="0"/>
          <w:bCs w:val="0"/>
          <w:sz w:val="28"/>
          <w:szCs w:val="28"/>
        </w:rPr>
        <w:t>202</w:t>
      </w: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年   月   日</w:t>
      </w:r>
    </w:p>
    <w:bookmarkEnd w:id="0"/>
    <w:bookmarkEnd w:id="1"/>
    <w:bookmarkEnd w:id="2"/>
    <w:p w14:paraId="3E734AEF">
      <w:pPr>
        <w:adjustRightInd w:val="0"/>
        <w:snapToGrid w:val="0"/>
        <w:spacing w:line="360" w:lineRule="auto"/>
        <w:rPr>
          <w:rFonts w:hint="eastAsia" w:ascii="仿宋" w:hAnsi="仿宋" w:eastAsia="仿宋" w:cs="仿宋"/>
          <w:b/>
          <w:color w:val="auto"/>
          <w:sz w:val="24"/>
        </w:rPr>
      </w:pPr>
      <w:bookmarkStart w:id="5" w:name="_Toc28584"/>
    </w:p>
    <w:p w14:paraId="187917C9">
      <w:pPr>
        <w:adjustRightInd w:val="0"/>
        <w:snapToGrid w:val="0"/>
        <w:spacing w:line="360" w:lineRule="auto"/>
        <w:ind w:firstLine="482" w:firstLineChars="200"/>
        <w:rPr>
          <w:rFonts w:hint="eastAsia" w:ascii="仿宋" w:hAnsi="仿宋" w:eastAsia="仿宋" w:cs="仿宋"/>
          <w:b/>
          <w:color w:val="auto"/>
          <w:sz w:val="24"/>
          <w:lang w:val="en-US" w:eastAsia="zh-CN"/>
        </w:rPr>
      </w:pPr>
    </w:p>
    <w:p w14:paraId="7A9A2F3F">
      <w:pPr>
        <w:adjustRightInd w:val="0"/>
        <w:snapToGrid w:val="0"/>
        <w:spacing w:line="360" w:lineRule="auto"/>
        <w:ind w:firstLine="482" w:firstLineChars="200"/>
        <w:rPr>
          <w:rFonts w:hint="eastAsia" w:ascii="仿宋" w:hAnsi="仿宋" w:eastAsia="仿宋" w:cs="仿宋"/>
          <w:b/>
          <w:color w:val="auto"/>
          <w:sz w:val="24"/>
          <w:lang w:val="en-US" w:eastAsia="zh-CN"/>
        </w:rPr>
      </w:pPr>
    </w:p>
    <w:p w14:paraId="456A53C5">
      <w:pPr>
        <w:adjustRightInd w:val="0"/>
        <w:snapToGrid w:val="0"/>
        <w:spacing w:line="360" w:lineRule="auto"/>
        <w:ind w:firstLine="482" w:firstLineChars="200"/>
        <w:rPr>
          <w:rFonts w:hint="eastAsia" w:ascii="仿宋" w:hAnsi="仿宋" w:eastAsia="仿宋" w:cs="仿宋"/>
          <w:b w:val="0"/>
          <w:bCs/>
          <w:color w:val="auto"/>
          <w:sz w:val="24"/>
        </w:rPr>
      </w:pPr>
      <w:r>
        <w:rPr>
          <w:rFonts w:hint="eastAsia" w:ascii="仿宋" w:hAnsi="仿宋" w:eastAsia="仿宋" w:cs="仿宋"/>
          <w:b/>
          <w:color w:val="auto"/>
          <w:sz w:val="24"/>
          <w:lang w:val="en-US" w:eastAsia="zh-CN"/>
        </w:rPr>
        <w:t>甲方（</w:t>
      </w:r>
      <w:r>
        <w:rPr>
          <w:rFonts w:hint="eastAsia" w:ascii="仿宋" w:hAnsi="仿宋" w:eastAsia="仿宋" w:cs="仿宋"/>
          <w:b/>
          <w:color w:val="auto"/>
          <w:sz w:val="24"/>
        </w:rPr>
        <w:t>采购人</w:t>
      </w:r>
      <w:r>
        <w:rPr>
          <w:rFonts w:hint="eastAsia" w:ascii="仿宋" w:hAnsi="仿宋" w:eastAsia="仿宋" w:cs="仿宋"/>
          <w:b/>
          <w:color w:val="auto"/>
          <w:sz w:val="24"/>
          <w:lang w:val="en-US" w:eastAsia="zh-CN"/>
        </w:rPr>
        <w:t>）</w:t>
      </w:r>
      <w:r>
        <w:rPr>
          <w:rFonts w:hint="eastAsia" w:ascii="仿宋" w:hAnsi="仿宋" w:eastAsia="仿宋" w:cs="仿宋"/>
          <w:b/>
          <w:color w:val="auto"/>
          <w:sz w:val="24"/>
        </w:rPr>
        <w:t>：</w:t>
      </w:r>
      <w:r>
        <w:rPr>
          <w:rFonts w:hint="eastAsia" w:ascii="仿宋" w:hAnsi="仿宋" w:eastAsia="仿宋" w:cs="仿宋"/>
          <w:b w:val="0"/>
          <w:bCs/>
          <w:color w:val="auto"/>
          <w:sz w:val="24"/>
          <w:lang w:eastAsia="zh-CN"/>
        </w:rPr>
        <w:t>铜川市耀州区人民医院</w:t>
      </w:r>
    </w:p>
    <w:p w14:paraId="75B69BB7">
      <w:pPr>
        <w:adjustRightInd w:val="0"/>
        <w:snapToGrid w:val="0"/>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lang w:val="en-US" w:eastAsia="zh-CN"/>
        </w:rPr>
        <w:t>乙方</w:t>
      </w:r>
      <w:r>
        <w:rPr>
          <w:rFonts w:hint="eastAsia" w:ascii="仿宋" w:hAnsi="仿宋" w:eastAsia="仿宋" w:cs="仿宋"/>
          <w:b/>
          <w:color w:val="auto"/>
          <w:sz w:val="24"/>
        </w:rPr>
        <w:t>（</w:t>
      </w:r>
      <w:r>
        <w:rPr>
          <w:rFonts w:hint="eastAsia" w:ascii="仿宋" w:hAnsi="仿宋" w:eastAsia="仿宋" w:cs="仿宋"/>
          <w:b/>
          <w:color w:val="auto"/>
          <w:sz w:val="24"/>
          <w:lang w:val="en-US" w:eastAsia="zh-CN"/>
        </w:rPr>
        <w:t>供应商</w:t>
      </w:r>
      <w:r>
        <w:rPr>
          <w:rFonts w:hint="eastAsia" w:ascii="仿宋" w:hAnsi="仿宋" w:eastAsia="仿宋" w:cs="仿宋"/>
          <w:b/>
          <w:color w:val="auto"/>
          <w:sz w:val="24"/>
        </w:rPr>
        <w:t>）：</w:t>
      </w:r>
      <w:r>
        <w:rPr>
          <w:rFonts w:hint="eastAsia" w:ascii="仿宋" w:hAnsi="仿宋" w:eastAsia="仿宋" w:cs="仿宋"/>
          <w:b/>
          <w:color w:val="auto"/>
          <w:sz w:val="24"/>
          <w:u w:val="single"/>
        </w:rPr>
        <w:t xml:space="preserve">                        </w:t>
      </w:r>
      <w:r>
        <w:rPr>
          <w:rFonts w:hint="eastAsia" w:ascii="仿宋" w:hAnsi="仿宋" w:eastAsia="仿宋" w:cs="仿宋"/>
          <w:b/>
          <w:color w:val="auto"/>
          <w:sz w:val="24"/>
          <w:u w:val="single"/>
          <w:lang w:val="en-US" w:eastAsia="zh-CN"/>
        </w:rPr>
        <w:t xml:space="preserve">   </w:t>
      </w:r>
      <w:r>
        <w:rPr>
          <w:rFonts w:hint="eastAsia" w:ascii="仿宋" w:hAnsi="仿宋" w:eastAsia="仿宋" w:cs="仿宋"/>
          <w:b/>
          <w:color w:val="auto"/>
          <w:sz w:val="24"/>
          <w:u w:val="single"/>
        </w:rPr>
        <w:t xml:space="preserve">   </w:t>
      </w:r>
    </w:p>
    <w:p w14:paraId="162D9DC6">
      <w:pPr>
        <w:adjustRightInd w:val="0"/>
        <w:snapToGrid w:val="0"/>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根据《中华人民共和国</w:t>
      </w:r>
      <w:r>
        <w:rPr>
          <w:rFonts w:hint="eastAsia" w:ascii="仿宋" w:hAnsi="仿宋" w:eastAsia="仿宋" w:cs="仿宋"/>
          <w:color w:val="auto"/>
          <w:sz w:val="24"/>
          <w:lang w:eastAsia="zh-CN"/>
        </w:rPr>
        <w:t>民法典</w:t>
      </w:r>
      <w:r>
        <w:rPr>
          <w:rFonts w:hint="eastAsia" w:ascii="仿宋" w:hAnsi="仿宋" w:eastAsia="仿宋" w:cs="仿宋"/>
          <w:color w:val="auto"/>
          <w:sz w:val="24"/>
        </w:rPr>
        <w:t>》及其他有关法律、法规，遵循平等、自愿、公平和诚信的原则，双方就下述项目范围与相关服务事项协商一致，订立本合同。</w:t>
      </w:r>
    </w:p>
    <w:p w14:paraId="35FF36FF">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根据《中华人民共和国政府采购法》有关规定，经甲、乙双方协商，本着平等互利和诚实信用原则，一致同意签署本合同如下：</w:t>
      </w:r>
      <w:r>
        <w:rPr>
          <w:rFonts w:hint="eastAsia" w:ascii="仿宋" w:hAnsi="仿宋" w:eastAsia="仿宋" w:cs="仿宋"/>
          <w:b/>
          <w:bCs/>
          <w:sz w:val="24"/>
          <w:szCs w:val="24"/>
        </w:rPr>
        <w:t xml:space="preserve">                 </w:t>
      </w:r>
    </w:p>
    <w:p w14:paraId="72D5F00C">
      <w:pPr>
        <w:numPr>
          <w:ilvl w:val="0"/>
          <w:numId w:val="1"/>
        </w:numPr>
        <w:snapToGrid w:val="0"/>
        <w:spacing w:line="240" w:lineRule="auto"/>
        <w:jc w:val="left"/>
        <w:rPr>
          <w:rFonts w:hint="eastAsia" w:ascii="仿宋" w:hAnsi="仿宋" w:eastAsia="仿宋" w:cs="仿宋"/>
          <w:b/>
          <w:bCs/>
          <w:sz w:val="24"/>
          <w:szCs w:val="24"/>
        </w:rPr>
      </w:pPr>
      <w:r>
        <w:rPr>
          <w:rFonts w:hint="eastAsia" w:ascii="仿宋" w:hAnsi="仿宋" w:eastAsia="仿宋" w:cs="仿宋"/>
          <w:b/>
          <w:bCs/>
          <w:sz w:val="24"/>
          <w:szCs w:val="24"/>
        </w:rPr>
        <w:t>货物内容</w:t>
      </w:r>
    </w:p>
    <w:p w14:paraId="64F35C34">
      <w:pPr>
        <w:pStyle w:val="6"/>
        <w:spacing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设备清单</w:t>
      </w:r>
      <w:r>
        <w:rPr>
          <w:rFonts w:hint="eastAsia" w:ascii="仿宋" w:hAnsi="仿宋" w:eastAsia="仿宋" w:cs="仿宋"/>
          <w:color w:val="auto"/>
          <w:sz w:val="24"/>
          <w:szCs w:val="24"/>
          <w:lang w:val="en-US" w:eastAsia="zh-CN"/>
        </w:rPr>
        <w:t>及配置清单</w:t>
      </w:r>
      <w:r>
        <w:rPr>
          <w:rFonts w:hint="eastAsia" w:ascii="仿宋" w:hAnsi="仿宋" w:eastAsia="仿宋" w:cs="仿宋"/>
          <w:color w:val="auto"/>
          <w:sz w:val="24"/>
          <w:szCs w:val="24"/>
        </w:rPr>
        <w:t>（见附表）。</w:t>
      </w:r>
    </w:p>
    <w:p w14:paraId="1DF2023B">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二、合同价款</w:t>
      </w:r>
    </w:p>
    <w:p w14:paraId="54D7B310">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该合同总价款为（大写）      元整，小写 （￥    元）。</w:t>
      </w:r>
    </w:p>
    <w:p w14:paraId="24E0ABDB">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合同总价</w:t>
      </w:r>
      <w:r>
        <w:rPr>
          <w:rFonts w:hint="eastAsia" w:ascii="仿宋" w:hAnsi="仿宋" w:eastAsia="仿宋" w:cs="仿宋"/>
          <w:sz w:val="24"/>
          <w:szCs w:val="24"/>
          <w:lang w:val="en-US" w:eastAsia="zh-CN"/>
        </w:rPr>
        <w:t>款</w:t>
      </w:r>
      <w:r>
        <w:rPr>
          <w:rFonts w:hint="eastAsia" w:ascii="仿宋" w:hAnsi="仿宋" w:eastAsia="仿宋" w:cs="仿宋"/>
          <w:sz w:val="24"/>
          <w:szCs w:val="24"/>
        </w:rPr>
        <w:t>包括：</w:t>
      </w:r>
      <w:r>
        <w:rPr>
          <w:rFonts w:hint="eastAsia" w:ascii="仿宋" w:hAnsi="仿宋" w:eastAsia="仿宋" w:cs="仿宋"/>
          <w:sz w:val="24"/>
          <w:highlight w:val="none"/>
          <w:lang w:val="en-US" w:eastAsia="zh-CN"/>
        </w:rPr>
        <w:t>乙方</w:t>
      </w:r>
      <w:r>
        <w:rPr>
          <w:rFonts w:hint="eastAsia" w:ascii="仿宋" w:hAnsi="仿宋" w:eastAsia="仿宋" w:cs="仿宋"/>
          <w:sz w:val="24"/>
          <w:szCs w:val="24"/>
          <w:highlight w:val="none"/>
          <w:lang w:eastAsia="zh-CN"/>
        </w:rPr>
        <w:t>为完成本项目并达到谈判文件要求所需要的全部费用。包括产品供货、安装调试、验收、培训售后服务，以及增值税等税费、运杂保险费等。</w:t>
      </w:r>
      <w:r>
        <w:rPr>
          <w:rFonts w:hint="eastAsia" w:ascii="仿宋" w:hAnsi="仿宋" w:eastAsia="仿宋" w:cs="仿宋"/>
          <w:sz w:val="24"/>
          <w:szCs w:val="24"/>
          <w:lang w:val="en-US" w:eastAsia="zh-CN"/>
        </w:rPr>
        <w:t>甲方除向乙方支付合同总价款外不再承担因本合同履行产生的任何费用</w:t>
      </w:r>
      <w:r>
        <w:rPr>
          <w:rFonts w:hint="eastAsia" w:ascii="仿宋" w:hAnsi="仿宋" w:eastAsia="仿宋" w:cs="仿宋"/>
          <w:sz w:val="24"/>
          <w:szCs w:val="24"/>
        </w:rPr>
        <w:t>。</w:t>
      </w:r>
    </w:p>
    <w:p w14:paraId="3A559DA3">
      <w:pPr>
        <w:snapToGrid w:val="0"/>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三、款项结算</w:t>
      </w:r>
    </w:p>
    <w:p w14:paraId="10D2315B">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具体付款方式：</w:t>
      </w:r>
    </w:p>
    <w:p w14:paraId="64926D74">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第一期</w:t>
      </w:r>
      <w:r>
        <w:rPr>
          <w:rFonts w:hint="eastAsia" w:ascii="仿宋" w:hAnsi="仿宋" w:eastAsia="仿宋" w:cs="仿宋"/>
          <w:sz w:val="24"/>
          <w:szCs w:val="24"/>
        </w:rPr>
        <w:t>： 供应商配送、安装调试完成且配合采购人完成验收 ，达到付款条件一年内 ，达到付款条件起 30 日内，支付合同总金额的 50.00%。</w:t>
      </w:r>
    </w:p>
    <w:p w14:paraId="100BD47B">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第二期</w:t>
      </w:r>
      <w:r>
        <w:rPr>
          <w:rFonts w:hint="eastAsia" w:ascii="仿宋" w:hAnsi="仿宋" w:eastAsia="仿宋" w:cs="仿宋"/>
          <w:sz w:val="24"/>
          <w:szCs w:val="24"/>
        </w:rPr>
        <w:t>： 验收合格后</w:t>
      </w:r>
      <w:r>
        <w:rPr>
          <w:rFonts w:hint="eastAsia" w:ascii="仿宋" w:hAnsi="仿宋" w:eastAsia="仿宋" w:cs="仿宋"/>
          <w:sz w:val="24"/>
          <w:szCs w:val="24"/>
          <w:lang w:val="en-US" w:eastAsia="zh-CN"/>
        </w:rPr>
        <w:t>二</w:t>
      </w:r>
      <w:r>
        <w:rPr>
          <w:rFonts w:hint="eastAsia" w:ascii="仿宋" w:hAnsi="仿宋" w:eastAsia="仿宋" w:cs="仿宋"/>
          <w:sz w:val="24"/>
          <w:szCs w:val="24"/>
        </w:rPr>
        <w:t>年 ，达到付款条件起 30 日内，支付合同总金额的 40.00%。</w:t>
      </w:r>
    </w:p>
    <w:p w14:paraId="058FEFFC">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第三期</w:t>
      </w:r>
      <w:r>
        <w:rPr>
          <w:rFonts w:hint="eastAsia" w:ascii="仿宋" w:hAnsi="仿宋" w:eastAsia="仿宋" w:cs="仿宋"/>
          <w:sz w:val="24"/>
          <w:szCs w:val="24"/>
        </w:rPr>
        <w:t>：验收合格后</w:t>
      </w:r>
      <w:r>
        <w:rPr>
          <w:rFonts w:hint="eastAsia" w:ascii="仿宋" w:hAnsi="仿宋" w:eastAsia="仿宋" w:cs="仿宋"/>
          <w:sz w:val="24"/>
          <w:szCs w:val="24"/>
          <w:lang w:val="en-US" w:eastAsia="zh-CN"/>
        </w:rPr>
        <w:t>三</w:t>
      </w:r>
      <w:r>
        <w:rPr>
          <w:rFonts w:hint="eastAsia" w:ascii="仿宋" w:hAnsi="仿宋" w:eastAsia="仿宋" w:cs="仿宋"/>
          <w:sz w:val="24"/>
          <w:szCs w:val="24"/>
        </w:rPr>
        <w:t>年，达到付款条件起 30 日内，支付合同总金额的 10.00%。</w:t>
      </w:r>
    </w:p>
    <w:p w14:paraId="7C9C8F32">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结算方式：乙方在接受付款前开具全额</w:t>
      </w:r>
      <w:r>
        <w:rPr>
          <w:rFonts w:hint="eastAsia" w:ascii="仿宋" w:hAnsi="仿宋" w:eastAsia="仿宋" w:cs="仿宋"/>
          <w:sz w:val="24"/>
          <w:szCs w:val="24"/>
          <w:lang w:val="en-US" w:eastAsia="zh-CN"/>
        </w:rPr>
        <w:t>普通</w:t>
      </w:r>
      <w:r>
        <w:rPr>
          <w:rFonts w:hint="eastAsia" w:ascii="仿宋" w:hAnsi="仿宋" w:eastAsia="仿宋" w:cs="仿宋"/>
          <w:sz w:val="24"/>
          <w:szCs w:val="24"/>
        </w:rPr>
        <w:t>发票给甲方。</w:t>
      </w:r>
    </w:p>
    <w:p w14:paraId="6B71D9D9">
      <w:pPr>
        <w:numPr>
          <w:ilvl w:val="0"/>
          <w:numId w:val="2"/>
        </w:numPr>
        <w:snapToGrid w:val="0"/>
        <w:spacing w:line="360" w:lineRule="auto"/>
        <w:jc w:val="left"/>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交货期</w:t>
      </w:r>
    </w:p>
    <w:p w14:paraId="5143BE3C">
      <w:pPr>
        <w:snapToGrid w:val="0"/>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合同签订后</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lang w:eastAsia="zh-CN"/>
        </w:rPr>
        <w:t>个日历日内完成交货、安装调试、验收。</w:t>
      </w:r>
    </w:p>
    <w:p w14:paraId="54781E3F">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双方的权利和义务</w:t>
      </w:r>
    </w:p>
    <w:p w14:paraId="4DA6BC24">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（一）甲方的权利与义务</w:t>
      </w:r>
    </w:p>
    <w:p w14:paraId="49BEC496">
      <w:pPr>
        <w:snapToGrid w:val="0"/>
        <w:spacing w:line="360" w:lineRule="auto"/>
        <w:jc w:val="left"/>
        <w:rPr>
          <w:rFonts w:hint="eastAsia" w:ascii="仿宋" w:hAnsi="仿宋" w:eastAsia="仿宋" w:cs="仿宋"/>
          <w:color w:val="auto"/>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甲方在收到货物通知后，应按招标文件的需求进行核实，如发现不符合合同规定或短缺，及时提出，甲方在收到货后，组织人员按提供的技术参数指标进行验收</w:t>
      </w:r>
      <w:r>
        <w:rPr>
          <w:rFonts w:hint="eastAsia" w:ascii="仿宋" w:hAnsi="仿宋" w:eastAsia="仿宋" w:cs="仿宋"/>
          <w:color w:val="auto"/>
          <w:sz w:val="24"/>
          <w:szCs w:val="24"/>
        </w:rPr>
        <w:t>。</w:t>
      </w:r>
    </w:p>
    <w:p w14:paraId="6F853FB1">
      <w:pPr>
        <w:snapToGrid w:val="0"/>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2、质保期：自安装、调试正常运行并验收合格之日起：提供整机质保期≥3年、所有软件升级（如生产厂家或成交单位在响应文件内体现质保期＞3年的以投标文件为准。）</w:t>
      </w:r>
    </w:p>
    <w:p w14:paraId="2CE8D75B">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（二）乙方的权利与义务</w:t>
      </w:r>
    </w:p>
    <w:p w14:paraId="2FBE14D0">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1.乙方负责设备安装与调试在合同约定的时间完工；</w:t>
      </w:r>
    </w:p>
    <w:p w14:paraId="5768B9FA">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2.乙方所提供的设备必须是采购需求产品，运输及安装全过程中的安全由乙方负责；</w:t>
      </w:r>
    </w:p>
    <w:p w14:paraId="4F0BF5F4">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3.在仪器安装及调试过程中，乙方应积极配合甲方，最终完成产品的安装调试工作。</w:t>
      </w:r>
    </w:p>
    <w:p w14:paraId="0E5B71B7">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、运输</w:t>
      </w:r>
    </w:p>
    <w:p w14:paraId="294DFA67">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（一）乙方负责所有设备的运输，确保采购产品安全、完整到达甲方指定地点。运杂费用已包含在合同总价内，包括从设备供应地点所含的运输费、装卸费、仓储费、保险费等。</w:t>
      </w:r>
    </w:p>
    <w:p w14:paraId="1434AE7C">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（二）运输方式由乙方自行选择，但必须保证按期交货，所有采购货物在运输、搬运的过程中，造成甲方损失的，由乙方为甲方修复或更</w:t>
      </w:r>
      <w:r>
        <w:rPr>
          <w:rFonts w:hint="eastAsia" w:ascii="仿宋" w:hAnsi="仿宋" w:eastAsia="仿宋" w:cs="仿宋"/>
          <w:sz w:val="24"/>
          <w:szCs w:val="24"/>
          <w:lang w:val="en-US" w:eastAsia="zh-CN"/>
        </w:rPr>
        <w:t>换</w:t>
      </w:r>
      <w:r>
        <w:rPr>
          <w:rFonts w:hint="eastAsia" w:ascii="仿宋" w:hAnsi="仿宋" w:eastAsia="仿宋" w:cs="仿宋"/>
          <w:sz w:val="24"/>
          <w:szCs w:val="24"/>
        </w:rPr>
        <w:t>。</w:t>
      </w:r>
    </w:p>
    <w:p w14:paraId="39B9BE0C">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、质量保证</w:t>
      </w:r>
    </w:p>
    <w:p w14:paraId="23ABCBFE">
      <w:pPr>
        <w:shd w:val="clear" w:color="auto" w:fill="auto"/>
        <w:spacing w:line="360" w:lineRule="auto"/>
        <w:ind w:firstLine="480" w:firstLineChars="200"/>
        <w:rPr>
          <w:rFonts w:hint="eastAsia" w:ascii="仿宋" w:hAnsi="仿宋" w:eastAsia="仿宋" w:cs="仿宋"/>
          <w:b w:val="0"/>
          <w:bCs/>
          <w:color w:val="auto"/>
          <w:kern w:val="0"/>
          <w:sz w:val="24"/>
          <w:szCs w:val="20"/>
          <w:highlight w:val="none"/>
          <w:lang w:val="en-US" w:eastAsia="zh-CN" w:bidi="ar"/>
        </w:rPr>
      </w:pPr>
      <w:r>
        <w:rPr>
          <w:rFonts w:hint="eastAsia" w:ascii="仿宋" w:hAnsi="仿宋" w:eastAsia="仿宋" w:cs="仿宋"/>
          <w:b w:val="0"/>
          <w:bCs/>
          <w:color w:val="auto"/>
          <w:kern w:val="0"/>
          <w:sz w:val="24"/>
          <w:szCs w:val="20"/>
          <w:highlight w:val="none"/>
          <w:lang w:val="en-US" w:eastAsia="zh-CN" w:bidi="ar"/>
        </w:rPr>
        <w:t>乙方所提供货物必须执行下列条款：（一）保证技术指标先进、产品全新、质量性能可靠、进货渠道正常，配置合理，出厂全面满足采购文件要求。（二）符合国家有关规范要求和标准，确保达到最佳运行状态，对于由于产品设计、工艺或材料的缺陷而产生的质量问题负责。（三）具有良好的外观，适合安装场所的使用。（四）30天内，如出现质量问题，采购人可以选择换货或退货。</w:t>
      </w:r>
    </w:p>
    <w:p w14:paraId="221CBEF3">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、售后服务</w:t>
      </w:r>
    </w:p>
    <w:p w14:paraId="4179104F">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1.乙方所供设备发生质量问题，</w:t>
      </w:r>
      <w:r>
        <w:rPr>
          <w:rFonts w:hint="eastAsia" w:ascii="仿宋" w:hAnsi="仿宋" w:eastAsia="仿宋" w:cs="仿宋"/>
          <w:b w:val="0"/>
          <w:bCs/>
          <w:color w:val="auto"/>
          <w:kern w:val="0"/>
          <w:sz w:val="24"/>
          <w:szCs w:val="20"/>
          <w:highlight w:val="none"/>
          <w:lang w:val="en-US" w:eastAsia="zh-CN" w:bidi="ar"/>
        </w:rPr>
        <w:t>必须在接到甲方故障报告后在4小时内维修工程师到达现场，排除故障的期限不得超过24小时，否则成交供应商需提供备用机供临床使用；</w:t>
      </w:r>
      <w:r>
        <w:rPr>
          <w:rFonts w:hint="eastAsia" w:ascii="仿宋" w:hAnsi="仿宋" w:eastAsia="仿宋" w:cs="仿宋"/>
          <w:sz w:val="24"/>
          <w:szCs w:val="24"/>
        </w:rPr>
        <w:t>发生的全部费用由乙方承担，若需将设备送回生产厂，乙方承担往返费用。由于乙方的保证服务不到位，质保期的到期时间</w:t>
      </w:r>
      <w:r>
        <w:rPr>
          <w:rFonts w:hint="eastAsia" w:ascii="仿宋" w:hAnsi="仿宋" w:eastAsia="仿宋" w:cs="仿宋"/>
          <w:sz w:val="24"/>
          <w:szCs w:val="24"/>
          <w:lang w:val="en-US" w:eastAsia="zh-CN"/>
        </w:rPr>
        <w:t>相应</w:t>
      </w:r>
      <w:r>
        <w:rPr>
          <w:rFonts w:hint="eastAsia" w:ascii="仿宋" w:hAnsi="仿宋" w:eastAsia="仿宋" w:cs="仿宋"/>
          <w:sz w:val="24"/>
          <w:szCs w:val="24"/>
        </w:rPr>
        <w:t>顺延。</w:t>
      </w:r>
    </w:p>
    <w:p w14:paraId="2335026C">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2、设备</w:t>
      </w:r>
      <w:r>
        <w:rPr>
          <w:rFonts w:hint="eastAsia" w:ascii="仿宋" w:hAnsi="仿宋" w:eastAsia="仿宋" w:cs="仿宋"/>
          <w:sz w:val="24"/>
          <w:szCs w:val="24"/>
          <w:lang w:val="en-US" w:eastAsia="zh-CN"/>
        </w:rPr>
        <w:t>质保期满</w:t>
      </w:r>
      <w:r>
        <w:rPr>
          <w:rFonts w:hint="eastAsia" w:ascii="仿宋" w:hAnsi="仿宋" w:eastAsia="仿宋" w:cs="仿宋"/>
          <w:sz w:val="24"/>
          <w:szCs w:val="24"/>
        </w:rPr>
        <w:t>后，若有零部件出现故障，经权威部门鉴定属于寿命异常问题（明显短于该零部件正常寿命）时，则由乙方负责免费更换及维修。</w:t>
      </w:r>
    </w:p>
    <w:p w14:paraId="19B46DC0">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3、在配件停止生产的情况下，乙方应事先将要停止生产的计划通知甲方，使甲方有足够的时间采购所需备件；在备件停止生产后，乙方应免费向甲方提供备件的图纸、资料。</w:t>
      </w:r>
    </w:p>
    <w:p w14:paraId="3FA74840">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九</w:t>
      </w:r>
      <w:r>
        <w:rPr>
          <w:rFonts w:hint="eastAsia" w:ascii="仿宋" w:hAnsi="仿宋" w:eastAsia="仿宋" w:cs="仿宋"/>
          <w:b/>
          <w:bCs/>
          <w:sz w:val="24"/>
          <w:szCs w:val="24"/>
        </w:rPr>
        <w:t>、技术与服务</w:t>
      </w:r>
    </w:p>
    <w:p w14:paraId="5279C6F6">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（一）技术资料：</w:t>
      </w:r>
    </w:p>
    <w:p w14:paraId="0BCA1171">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产品合格证、产品使用说明书、装箱清单、维修手册、出厂报告、 </w:t>
      </w:r>
    </w:p>
    <w:p w14:paraId="0BAC37B1">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（二）服务承诺：以招标文件、澄清表、合同和随产品的相关文件为准，但至少应包括：</w:t>
      </w:r>
    </w:p>
    <w:p w14:paraId="475BA277">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1.乙方对其所售设备负责备品配件的供应,</w:t>
      </w:r>
      <w:r>
        <w:rPr>
          <w:rFonts w:hint="eastAsia" w:ascii="仿宋" w:hAnsi="仿宋" w:eastAsia="仿宋" w:cs="仿宋"/>
          <w:sz w:val="24"/>
          <w:szCs w:val="24"/>
          <w:lang w:val="en-US" w:eastAsia="zh-CN"/>
        </w:rPr>
        <w:t>并</w:t>
      </w:r>
      <w:r>
        <w:rPr>
          <w:rFonts w:hint="eastAsia" w:ascii="仿宋" w:hAnsi="仿宋" w:eastAsia="仿宋" w:cs="仿宋"/>
          <w:sz w:val="24"/>
          <w:szCs w:val="24"/>
        </w:rPr>
        <w:t>长期提供维修、技术咨询等服务。</w:t>
      </w:r>
    </w:p>
    <w:p w14:paraId="37217A87">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2.服务响应时限：7</w:t>
      </w:r>
      <w:r>
        <w:rPr>
          <w:rFonts w:hint="eastAsia" w:ascii="仿宋" w:hAnsi="仿宋" w:eastAsia="仿宋" w:cs="仿宋"/>
          <w:sz w:val="24"/>
          <w:szCs w:val="24"/>
          <w:lang w:val="en-US" w:eastAsia="zh-CN"/>
        </w:rPr>
        <w:t>*</w:t>
      </w:r>
      <w:r>
        <w:rPr>
          <w:rFonts w:hint="eastAsia" w:ascii="仿宋" w:hAnsi="仿宋" w:eastAsia="仿宋" w:cs="仿宋"/>
          <w:sz w:val="24"/>
          <w:szCs w:val="24"/>
        </w:rPr>
        <w:t>24小时服务。</w:t>
      </w:r>
    </w:p>
    <w:p w14:paraId="27988100">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3.派专人对所供设备提供售后服务。</w:t>
      </w:r>
    </w:p>
    <w:p w14:paraId="319D6D87">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（三）人员培训：当设备安装调试结束后，乙方应对使用人员进行培训，并制作培训教材以便使用。</w:t>
      </w:r>
    </w:p>
    <w:p w14:paraId="314DF9F1">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、违约责任</w:t>
      </w:r>
    </w:p>
    <w:p w14:paraId="7AE0A0E3">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本合同未约定的违约情形，</w:t>
      </w:r>
      <w:r>
        <w:rPr>
          <w:rFonts w:hint="eastAsia" w:ascii="仿宋" w:hAnsi="仿宋" w:eastAsia="仿宋" w:cs="仿宋"/>
          <w:sz w:val="24"/>
          <w:szCs w:val="24"/>
        </w:rPr>
        <w:t>按《</w:t>
      </w:r>
      <w:r>
        <w:rPr>
          <w:rFonts w:hint="eastAsia" w:ascii="仿宋" w:hAnsi="仿宋" w:eastAsia="仿宋" w:cs="仿宋"/>
          <w:sz w:val="24"/>
          <w:szCs w:val="24"/>
          <w:lang w:val="en-US" w:eastAsia="zh-CN"/>
        </w:rPr>
        <w:t>中华人民共和国民法典</w:t>
      </w:r>
      <w:r>
        <w:rPr>
          <w:rFonts w:hint="eastAsia" w:ascii="仿宋" w:hAnsi="仿宋" w:eastAsia="仿宋" w:cs="仿宋"/>
          <w:sz w:val="24"/>
          <w:szCs w:val="24"/>
        </w:rPr>
        <w:t>》中的相关条</w:t>
      </w:r>
      <w:r>
        <w:rPr>
          <w:rFonts w:hint="eastAsia" w:ascii="仿宋" w:hAnsi="仿宋" w:eastAsia="仿宋" w:cs="仿宋"/>
          <w:sz w:val="24"/>
          <w:szCs w:val="24"/>
          <w:lang w:val="en-US" w:eastAsia="zh-CN"/>
        </w:rPr>
        <w:t>文</w:t>
      </w:r>
      <w:r>
        <w:rPr>
          <w:rFonts w:hint="eastAsia" w:ascii="仿宋" w:hAnsi="仿宋" w:eastAsia="仿宋" w:cs="仿宋"/>
          <w:sz w:val="24"/>
          <w:szCs w:val="24"/>
        </w:rPr>
        <w:t>执行。</w:t>
      </w:r>
    </w:p>
    <w:p w14:paraId="26C7DFE1">
      <w:pPr>
        <w:snapToGrid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rPr>
        <w:t>（二）乙方工期每超过一天，扣除乙方合同总价款的0.</w:t>
      </w:r>
      <w:r>
        <w:rPr>
          <w:rFonts w:hint="eastAsia" w:ascii="仿宋" w:hAnsi="仿宋" w:eastAsia="仿宋" w:cs="仿宋"/>
          <w:sz w:val="24"/>
          <w:szCs w:val="24"/>
          <w:lang w:val="en-US" w:eastAsia="zh-CN"/>
        </w:rPr>
        <w:t>1</w:t>
      </w:r>
      <w:r>
        <w:rPr>
          <w:rFonts w:hint="eastAsia" w:ascii="仿宋" w:hAnsi="仿宋" w:eastAsia="仿宋" w:cs="仿宋"/>
          <w:sz w:val="24"/>
          <w:szCs w:val="24"/>
        </w:rPr>
        <w:t>%，迟交产品超过</w:t>
      </w:r>
      <w:r>
        <w:rPr>
          <w:rFonts w:hint="eastAsia" w:ascii="仿宋" w:hAnsi="仿宋" w:eastAsia="仿宋" w:cs="仿宋"/>
          <w:sz w:val="24"/>
          <w:szCs w:val="24"/>
          <w:lang w:val="en-US" w:eastAsia="zh-CN"/>
        </w:rPr>
        <w:t>3</w:t>
      </w:r>
      <w:r>
        <w:rPr>
          <w:rFonts w:hint="eastAsia" w:ascii="仿宋" w:hAnsi="仿宋" w:eastAsia="仿宋" w:cs="仿宋"/>
          <w:sz w:val="24"/>
          <w:szCs w:val="24"/>
        </w:rPr>
        <w:t>0天，甲方有权拒收产品</w:t>
      </w:r>
      <w:r>
        <w:rPr>
          <w:rFonts w:hint="eastAsia" w:ascii="仿宋" w:hAnsi="仿宋" w:eastAsia="仿宋" w:cs="仿宋"/>
          <w:sz w:val="24"/>
          <w:szCs w:val="24"/>
          <w:lang w:val="en-US" w:eastAsia="zh-CN"/>
        </w:rPr>
        <w:t>。</w:t>
      </w:r>
    </w:p>
    <w:p w14:paraId="6BF48005">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三）按合同要求提供设备或设备质量不能满足采购技术要求，乙方必须无条件更换，提高技术，完善质量，否则甲方会同监督机构、采购代理机构有权终止合同并对乙方违约行为进行追究，同时按政府采购供应商管理办法进行相应的处罚。</w:t>
      </w:r>
    </w:p>
    <w:p w14:paraId="21677D12">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（四）任何一方因不可抗力原因不能履行协议时，应尽快通知对方，双方均设法补偿。如仍无法履约协议，可协商延缓或撤销协议，双方责任免除。</w:t>
      </w:r>
    </w:p>
    <w:p w14:paraId="4DF9E926">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、验收</w:t>
      </w:r>
    </w:p>
    <w:p w14:paraId="774A9E79">
      <w:pPr>
        <w:snapToGrid w:val="0"/>
        <w:spacing w:line="360" w:lineRule="auto"/>
        <w:jc w:val="left"/>
        <w:rPr>
          <w:rFonts w:hint="eastAsia" w:ascii="仿宋" w:hAnsi="仿宋" w:eastAsia="仿宋" w:cs="仿宋"/>
          <w:sz w:val="24"/>
          <w:szCs w:val="24"/>
          <w:lang w:val="en-US" w:eastAsia="zh-CN"/>
        </w:rPr>
      </w:pPr>
      <w:r>
        <w:rPr>
          <w:rFonts w:hint="eastAsia" w:ascii="仿宋" w:hAnsi="仿宋" w:eastAsia="仿宋" w:cs="仿宋"/>
          <w:bCs/>
          <w:color w:val="auto"/>
          <w:sz w:val="24"/>
          <w:highlight w:val="none"/>
        </w:rPr>
        <w:t>（一）货物到达</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指定地点后，</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根据合同要求，进行外观验收，确认产地、规格、型号和数量。双方需在约定的时间和地点共同开箱检验。 （二）货物安装、调试过程中，属于国家计量法规定需要检测的设备及配件，供应商需提供计量检测部门的检测报告，属于特种设备的，供应商需办理注册登记和使用许可，而后能够正常使用时书面通知</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。（三）供应商向</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提交原厂质保证明文件，要求覆盖供应商所承诺的全部原厂维修保养服务期限。（四）</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确认接收供应商的自检内容后，进行验收，验收合格后，由供应商对采购方操作人员进行培训，完成培训后，</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填写验收单作为对货物的最终认可。 （五）供应商向</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提交货物实施过程中的所有资料，以便</w:t>
      </w:r>
      <w:r>
        <w:rPr>
          <w:rFonts w:hint="eastAsia" w:ascii="仿宋" w:hAnsi="仿宋" w:eastAsia="仿宋" w:cs="仿宋"/>
          <w:bCs/>
          <w:color w:val="auto"/>
          <w:sz w:val="24"/>
          <w:highlight w:val="none"/>
          <w:lang w:eastAsia="zh-CN"/>
        </w:rPr>
        <w:t>甲方</w:t>
      </w:r>
      <w:r>
        <w:rPr>
          <w:rFonts w:hint="eastAsia" w:ascii="仿宋" w:hAnsi="仿宋" w:eastAsia="仿宋" w:cs="仿宋"/>
          <w:bCs/>
          <w:color w:val="auto"/>
          <w:sz w:val="24"/>
          <w:highlight w:val="none"/>
        </w:rPr>
        <w:t>日后管理和维护。 （六）验收依据： 1、合同及合同附件。 2、国家相应的标准、规范。 3、竞争性采购文件、响应文件、澄清表（函）。质量验收标准或规范：现行的国家标准或国家行政部门颁布的法律法规、规章制度、招标文件（包括澄清、答疑等）、</w:t>
      </w:r>
      <w:r>
        <w:rPr>
          <w:rFonts w:hint="eastAsia" w:ascii="仿宋" w:hAnsi="仿宋" w:eastAsia="仿宋" w:cs="仿宋"/>
          <w:bCs/>
          <w:color w:val="auto"/>
          <w:sz w:val="24"/>
          <w:highlight w:val="none"/>
          <w:lang w:eastAsia="zh-CN"/>
        </w:rPr>
        <w:t>响应文件</w:t>
      </w:r>
      <w:r>
        <w:rPr>
          <w:rFonts w:hint="eastAsia" w:ascii="仿宋" w:hAnsi="仿宋" w:eastAsia="仿宋" w:cs="仿宋"/>
          <w:bCs/>
          <w:color w:val="auto"/>
          <w:sz w:val="24"/>
          <w:highlight w:val="none"/>
        </w:rPr>
        <w:t>。没有国家标准的，可以参考行业标准。</w:t>
      </w:r>
    </w:p>
    <w:p w14:paraId="2773B457">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二</w:t>
      </w:r>
      <w:r>
        <w:rPr>
          <w:rFonts w:hint="eastAsia" w:ascii="仿宋" w:hAnsi="仿宋" w:eastAsia="仿宋" w:cs="仿宋"/>
          <w:sz w:val="24"/>
          <w:szCs w:val="24"/>
        </w:rPr>
        <w:t>、合同争议解决的方式</w:t>
      </w:r>
    </w:p>
    <w:p w14:paraId="43E6069F">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本合同在履行过程中发生的争议，由甲、乙双方当事人协商解决，协商不成的按下列第（</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）种方式解决：</w:t>
      </w:r>
    </w:p>
    <w:p w14:paraId="32471774">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（一）提交</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仲裁委员会仲裁；</w:t>
      </w:r>
    </w:p>
    <w:p w14:paraId="02D87BAC">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（二）依法向</w:t>
      </w:r>
      <w:r>
        <w:rPr>
          <w:rFonts w:hint="eastAsia" w:ascii="仿宋" w:hAnsi="仿宋" w:eastAsia="仿宋" w:cs="仿宋"/>
          <w:sz w:val="24"/>
          <w:szCs w:val="24"/>
          <w:lang w:val="en-US" w:eastAsia="zh-CN"/>
        </w:rPr>
        <w:t>甲方所在地</w:t>
      </w:r>
      <w:r>
        <w:rPr>
          <w:rFonts w:hint="eastAsia" w:ascii="仿宋" w:hAnsi="仿宋" w:eastAsia="仿宋" w:cs="仿宋"/>
          <w:sz w:val="24"/>
          <w:szCs w:val="24"/>
        </w:rPr>
        <w:t>人民法院起诉。</w:t>
      </w:r>
    </w:p>
    <w:p w14:paraId="715237A7">
      <w:pPr>
        <w:snapToGrid w:val="0"/>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、合同生效</w:t>
      </w:r>
    </w:p>
    <w:p w14:paraId="7E513EDE">
      <w:pPr>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（一）本合同经双方签字</w:t>
      </w:r>
      <w:r>
        <w:rPr>
          <w:rFonts w:hint="eastAsia" w:ascii="仿宋" w:hAnsi="仿宋" w:eastAsia="仿宋" w:cs="仿宋"/>
          <w:sz w:val="24"/>
          <w:szCs w:val="24"/>
          <w:lang w:val="en-US" w:eastAsia="zh-CN"/>
        </w:rPr>
        <w:t>并</w:t>
      </w:r>
      <w:r>
        <w:rPr>
          <w:rFonts w:hint="eastAsia" w:ascii="仿宋" w:hAnsi="仿宋" w:eastAsia="仿宋" w:cs="仿宋"/>
          <w:sz w:val="24"/>
          <w:szCs w:val="24"/>
        </w:rPr>
        <w:t>盖章后生效。</w:t>
      </w:r>
    </w:p>
    <w:p w14:paraId="10E5213C">
      <w:pPr>
        <w:snapToGrid w:val="0"/>
        <w:spacing w:line="360" w:lineRule="auto"/>
        <w:jc w:val="left"/>
        <w:rPr>
          <w:rFonts w:hint="eastAsia" w:ascii="仿宋" w:hAnsi="仿宋" w:eastAsia="仿宋" w:cs="仿宋"/>
          <w:color w:val="0000FF"/>
          <w:sz w:val="24"/>
          <w:szCs w:val="24"/>
        </w:rPr>
      </w:pPr>
      <w:r>
        <w:rPr>
          <w:rFonts w:hint="eastAsia" w:ascii="仿宋" w:hAnsi="仿宋" w:eastAsia="仿宋" w:cs="仿宋"/>
          <w:color w:val="0000FF"/>
          <w:sz w:val="24"/>
          <w:szCs w:val="24"/>
        </w:rPr>
        <w:t>（</w:t>
      </w:r>
      <w:r>
        <w:rPr>
          <w:rFonts w:hint="eastAsia" w:ascii="仿宋" w:hAnsi="仿宋" w:eastAsia="仿宋" w:cs="仿宋"/>
          <w:sz w:val="24"/>
          <w:szCs w:val="24"/>
        </w:rPr>
        <w:t>二）本合同一式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份，具有同等的法律效力。</w:t>
      </w:r>
    </w:p>
    <w:p w14:paraId="37063DFA">
      <w:pPr>
        <w:snapToGrid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rPr>
        <w:t>（三）本合同如有未尽事宜，甲、乙双方协商解决。</w:t>
      </w:r>
    </w:p>
    <w:p w14:paraId="60E96B25">
      <w:pPr>
        <w:snapToGrid w:val="0"/>
        <w:spacing w:line="360" w:lineRule="auto"/>
        <w:jc w:val="left"/>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十四、附件（设备明细及配置清单）</w:t>
      </w:r>
    </w:p>
    <w:p w14:paraId="6231A116">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highlight w:val="none"/>
        </w:rPr>
      </w:pPr>
    </w:p>
    <w:p w14:paraId="14A71CDA">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甲方</w:t>
      </w:r>
      <w:r>
        <w:rPr>
          <w:rFonts w:hint="eastAsia" w:ascii="仿宋" w:hAnsi="仿宋" w:eastAsia="仿宋" w:cs="仿宋"/>
          <w:color w:val="auto"/>
          <w:sz w:val="24"/>
          <w:highlight w:val="none"/>
        </w:rPr>
        <w:t xml:space="preserve">（盖章）：                   </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 xml:space="preserve">（盖章）：   </w:t>
      </w:r>
    </w:p>
    <w:p w14:paraId="37BD4131">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地址：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地址： </w:t>
      </w:r>
      <w:r>
        <w:rPr>
          <w:rFonts w:hint="eastAsia" w:ascii="仿宋" w:hAnsi="仿宋" w:eastAsia="仿宋" w:cs="仿宋"/>
          <w:color w:val="auto"/>
          <w:sz w:val="24"/>
          <w:highlight w:val="none"/>
          <w:u w:val="single"/>
        </w:rPr>
        <w:t xml:space="preserve">                      </w:t>
      </w:r>
    </w:p>
    <w:p w14:paraId="442F9601">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邮政编码：</w:t>
      </w:r>
      <w:r>
        <w:rPr>
          <w:rFonts w:hint="eastAsia" w:ascii="仿宋" w:hAnsi="仿宋" w:eastAsia="仿宋" w:cs="仿宋"/>
          <w:color w:val="auto"/>
          <w:sz w:val="24"/>
          <w:highlight w:val="none"/>
          <w:u w:val="single"/>
        </w:rPr>
        <w:t xml:space="preserve">                  </w:t>
      </w:r>
    </w:p>
    <w:p w14:paraId="36EFE4C2">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                 法定代表人或其授权</w:t>
      </w:r>
    </w:p>
    <w:p w14:paraId="65BAE613">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的代理人：</w:t>
      </w:r>
      <w:r>
        <w:rPr>
          <w:rFonts w:hint="eastAsia" w:ascii="仿宋" w:hAnsi="仿宋" w:eastAsia="仿宋" w:cs="仿宋"/>
          <w:color w:val="auto"/>
          <w:sz w:val="24"/>
          <w:highlight w:val="none"/>
          <w:u w:val="single"/>
        </w:rPr>
        <w:t xml:space="preserve">（签字）      </w:t>
      </w:r>
      <w:r>
        <w:rPr>
          <w:rFonts w:hint="eastAsia" w:ascii="仿宋" w:hAnsi="仿宋" w:eastAsia="仿宋" w:cs="仿宋"/>
          <w:color w:val="auto"/>
          <w:sz w:val="24"/>
          <w:highlight w:val="none"/>
        </w:rPr>
        <w:t xml:space="preserve">            的代理人：</w:t>
      </w:r>
      <w:r>
        <w:rPr>
          <w:rFonts w:hint="eastAsia" w:ascii="仿宋" w:hAnsi="仿宋" w:eastAsia="仿宋" w:cs="仿宋"/>
          <w:color w:val="auto"/>
          <w:sz w:val="24"/>
          <w:highlight w:val="none"/>
          <w:u w:val="single"/>
        </w:rPr>
        <w:t xml:space="preserve">（签字）          </w:t>
      </w:r>
    </w:p>
    <w:p w14:paraId="56273834">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开户银行：</w:t>
      </w:r>
      <w:r>
        <w:rPr>
          <w:rFonts w:hint="eastAsia" w:ascii="仿宋" w:hAnsi="仿宋" w:eastAsia="仿宋" w:cs="仿宋"/>
          <w:color w:val="auto"/>
          <w:sz w:val="24"/>
          <w:highlight w:val="none"/>
          <w:u w:val="single"/>
        </w:rPr>
        <w:t xml:space="preserve">                  </w:t>
      </w:r>
    </w:p>
    <w:p w14:paraId="356DCD44">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账号：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0CCF546">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电话：</w:t>
      </w:r>
      <w:r>
        <w:rPr>
          <w:rFonts w:hint="eastAsia" w:ascii="仿宋" w:hAnsi="仿宋" w:eastAsia="仿宋" w:cs="仿宋"/>
          <w:color w:val="auto"/>
          <w:sz w:val="24"/>
          <w:highlight w:val="none"/>
          <w:u w:val="single"/>
        </w:rPr>
        <w:t xml:space="preserve">                       </w:t>
      </w:r>
    </w:p>
    <w:p w14:paraId="2D26F4A2">
      <w:pPr>
        <w:keepNext w:val="0"/>
        <w:keepLines w:val="0"/>
        <w:pageBreakBefore w:val="0"/>
        <w:widowControl w:val="0"/>
        <w:shd w:val="clear" w:color="auto" w:fill="auto"/>
        <w:wordWrap/>
        <w:overflowPunct/>
        <w:topLinePunct w:val="0"/>
        <w:autoSpaceDE/>
        <w:autoSpaceDN/>
        <w:bidi w:val="0"/>
        <w:adjustRightInd w:val="0"/>
        <w:snapToGrid w:val="0"/>
        <w:spacing w:line="360" w:lineRule="auto"/>
        <w:ind w:firstLine="475" w:firstLineChars="198"/>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传真：</w:t>
      </w:r>
      <w:r>
        <w:rPr>
          <w:rFonts w:hint="eastAsia" w:ascii="仿宋" w:hAnsi="仿宋" w:eastAsia="仿宋" w:cs="仿宋"/>
          <w:color w:val="auto"/>
          <w:sz w:val="24"/>
          <w:highlight w:val="none"/>
          <w:u w:val="single"/>
        </w:rPr>
        <w:t xml:space="preserve">                       </w:t>
      </w:r>
    </w:p>
    <w:p w14:paraId="5C4031C2">
      <w:pPr>
        <w:adjustRightInd w:val="0"/>
        <w:snapToGrid w:val="0"/>
        <w:spacing w:line="360" w:lineRule="auto"/>
        <w:ind w:firstLine="475" w:firstLineChars="198"/>
        <w:rPr>
          <w:rFonts w:hint="eastAsia" w:ascii="仿宋" w:hAnsi="仿宋" w:eastAsia="仿宋" w:cs="仿宋"/>
        </w:rPr>
      </w:pPr>
      <w:r>
        <w:rPr>
          <w:rFonts w:hint="eastAsia" w:ascii="仿宋" w:hAnsi="仿宋" w:eastAsia="仿宋" w:cs="仿宋"/>
          <w:color w:val="auto"/>
          <w:sz w:val="24"/>
          <w:highlight w:val="none"/>
        </w:rPr>
        <w:t>电子邮箱：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电子邮箱：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p>
    <w:bookmarkEnd w:id="5"/>
    <w:p w14:paraId="1E6C5FD0">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AEB068"/>
    <w:multiLevelType w:val="singleLevel"/>
    <w:tmpl w:val="B9AEB068"/>
    <w:lvl w:ilvl="0" w:tentative="0">
      <w:start w:val="4"/>
      <w:numFmt w:val="chineseCounting"/>
      <w:suff w:val="nothing"/>
      <w:lvlText w:val="%1、"/>
      <w:lvlJc w:val="left"/>
      <w:rPr>
        <w:rFonts w:hint="eastAsia"/>
        <w:b/>
        <w:bCs/>
      </w:rPr>
    </w:lvl>
  </w:abstractNum>
  <w:abstractNum w:abstractNumId="1">
    <w:nsid w:val="43696061"/>
    <w:multiLevelType w:val="singleLevel"/>
    <w:tmpl w:val="4369606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zFjZjk4ODEwNjY1YzBmYTJkNGI0YWZlZmUxNmIifQ=="/>
  </w:docVars>
  <w:rsids>
    <w:rsidRoot w:val="54DA7C26"/>
    <w:rsid w:val="0E5B241B"/>
    <w:rsid w:val="16CF7BB0"/>
    <w:rsid w:val="1C22584B"/>
    <w:rsid w:val="2FE6169A"/>
    <w:rsid w:val="31D420C7"/>
    <w:rsid w:val="54DA7C26"/>
    <w:rsid w:val="5C425CFC"/>
    <w:rsid w:val="654C1999"/>
    <w:rsid w:val="77B92EBE"/>
    <w:rsid w:val="7C2F4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Lines="0" w:beforeAutospacing="0" w:afterLines="0" w:afterAutospacing="0" w:line="360" w:lineRule="auto"/>
      <w:jc w:val="center"/>
      <w:outlineLvl w:val="0"/>
    </w:pPr>
    <w:rPr>
      <w:rFonts w:ascii="Times New Roman" w:hAnsi="Times New Roman" w:eastAsia="宋体"/>
      <w:b/>
      <w:kern w:val="44"/>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rPr>
      <w:rFonts w:ascii="Courier New" w:hAnsi="Courier New"/>
      <w:sz w:val="20"/>
    </w:rPr>
  </w:style>
  <w:style w:type="paragraph" w:styleId="4">
    <w:name w:val="Normal Indent"/>
    <w:basedOn w:val="1"/>
    <w:next w:val="5"/>
    <w:autoRedefine/>
    <w:qFormat/>
    <w:uiPriority w:val="0"/>
    <w:pPr>
      <w:ind w:firstLine="420"/>
    </w:pPr>
  </w:style>
  <w:style w:type="paragraph" w:styleId="5">
    <w:name w:val="toc 4"/>
    <w:basedOn w:val="1"/>
    <w:next w:val="1"/>
    <w:autoRedefine/>
    <w:qFormat/>
    <w:uiPriority w:val="0"/>
    <w:pPr>
      <w:ind w:left="630"/>
      <w:jc w:val="left"/>
    </w:pPr>
    <w:rPr>
      <w:sz w:val="18"/>
      <w:szCs w:val="18"/>
    </w:rPr>
  </w:style>
  <w:style w:type="paragraph" w:styleId="6">
    <w:name w:val="Body Text"/>
    <w:basedOn w:val="1"/>
    <w:qFormat/>
    <w:uiPriority w:val="0"/>
    <w:rPr>
      <w:b/>
      <w:sz w:val="2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标题 1 字符"/>
    <w:link w:val="3"/>
    <w:autoRedefine/>
    <w:qFormat/>
    <w:uiPriority w:val="0"/>
    <w:rPr>
      <w:rFonts w:ascii="Times New Roman" w:hAnsi="Times New Roman" w:eastAsia="宋体"/>
      <w:b/>
      <w:kern w:val="44"/>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2824</Words>
  <Characters>2861</Characters>
  <Lines>0</Lines>
  <Paragraphs>0</Paragraphs>
  <TotalTime>14</TotalTime>
  <ScaleCrop>false</ScaleCrop>
  <LinksUpToDate>false</LinksUpToDate>
  <CharactersWithSpaces>3428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2024-11-04T06:38:00Z</dcterms:created>
  <dc:creator>李居岸</dc:creator>
  <cp:lastModifiedBy>段婧</cp:lastModifiedBy>
  <dcterms:modified xsi:type="dcterms:W3CDTF">2025-02-28T08:11:52Z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AF7C9EFEE5234652B0E68F9D5208BC4F_11</vt:lpwstr>
  </property>
  <property fmtid="{D5CDD505-2E9C-101B-9397-08002B2CF9AE}" pid="4" name="KSOTemplateDocerSaveRecord">
    <vt:lpwstr>eyJoZGlkIjoiNDE2MzFjZjk4ODEwNjY1YzBmYTJkNGI0YWZlZmUxNmIiLCJ1c2VySWQiOiIzMzEzMTg1MTQifQ==</vt:lpwstr>
  </property>
</Properties>
</file>