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版本号：ZKZBZC-TC2025-020320250228002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传承创新发展示范试点（中医优势重点专病专科建设及医联体信息化升级）项目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ZKZBZC-TC2025-0203</w:t>
      </w:r>
      <w:r>
        <w:br/>
      </w:r>
      <w:r>
        <w:br/>
      </w:r>
      <w:r>
        <w:br/>
      </w:r>
    </w:p>
    <w:p>
      <w:pPr>
        <w:pStyle w:val="null3"/>
        <w:jc w:val="center"/>
        <w:outlineLvl w:val="2"/>
      </w:pPr>
      <w:r>
        <w:rPr>
          <w:rFonts w:ascii="仿宋_GB2312" w:hAnsi="仿宋_GB2312" w:cs="仿宋_GB2312" w:eastAsia="仿宋_GB2312"/>
          <w:sz w:val="28"/>
          <w:b/>
        </w:rPr>
        <w:t>铜川市耀州区孙思邈中医院</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铜川市耀州区孙思邈中医院</w:t>
      </w:r>
      <w:r>
        <w:rPr>
          <w:rFonts w:ascii="仿宋_GB2312" w:hAnsi="仿宋_GB2312" w:cs="仿宋_GB2312" w:eastAsia="仿宋_GB2312"/>
        </w:rPr>
        <w:t>委托，拟对</w:t>
      </w:r>
      <w:r>
        <w:rPr>
          <w:rFonts w:ascii="仿宋_GB2312" w:hAnsi="仿宋_GB2312" w:cs="仿宋_GB2312" w:eastAsia="仿宋_GB2312"/>
        </w:rPr>
        <w:t>传承创新发展示范试点（中医优势重点专病专科建设及医联体信息化升级）项目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ZKZBZC-TC2025-0203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传承创新发展示范试点（中医优势重点专病专科建设及医联体信息化升级）项目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铜川市耀州区孙思邈中医院传承创新发展示范试点（中医优势重点专病专科建设及医联体信息化升级）项目。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3、财务状况报告：提供2023年度的财务审计报告或开户银行出具的资信证明；</w:t>
      </w:r>
    </w:p>
    <w:p>
      <w:pPr>
        <w:pStyle w:val="null3"/>
      </w:pPr>
      <w:r>
        <w:rPr>
          <w:rFonts w:ascii="仿宋_GB2312" w:hAnsi="仿宋_GB2312" w:cs="仿宋_GB2312" w:eastAsia="仿宋_GB2312"/>
        </w:rPr>
        <w:t>4、税收缴纳证明：开标前近六个月内至少三个月的纳税凭证/证明，依法免税的应提供相关证明材料；</w:t>
      </w:r>
    </w:p>
    <w:p>
      <w:pPr>
        <w:pStyle w:val="null3"/>
      </w:pPr>
      <w:r>
        <w:rPr>
          <w:rFonts w:ascii="仿宋_GB2312" w:hAnsi="仿宋_GB2312" w:cs="仿宋_GB2312" w:eastAsia="仿宋_GB2312"/>
        </w:rPr>
        <w:t>5、社会保障资金缴纳证明：开标前近六个月内至少三个月的社会保障资金缴纳凭证/证明，依法不需要缴纳的应提供相关证明材料；</w:t>
      </w:r>
    </w:p>
    <w:p>
      <w:pPr>
        <w:pStyle w:val="null3"/>
      </w:pPr>
      <w:r>
        <w:rPr>
          <w:rFonts w:ascii="仿宋_GB2312" w:hAnsi="仿宋_GB2312" w:cs="仿宋_GB2312" w:eastAsia="仿宋_GB2312"/>
        </w:rPr>
        <w:t>6、技术能力承诺：供应商应提供具有履行本合同所必需的设备和专业技术能力的说明或承诺书；</w:t>
      </w:r>
    </w:p>
    <w:p>
      <w:pPr>
        <w:pStyle w:val="null3"/>
      </w:pPr>
      <w:r>
        <w:rPr>
          <w:rFonts w:ascii="仿宋_GB2312" w:hAnsi="仿宋_GB2312" w:cs="仿宋_GB2312" w:eastAsia="仿宋_GB2312"/>
        </w:rPr>
        <w:t>7、书面声明：供应商应出具参加政府采购活动前3年内在经营活动中没有重大违法记录的书面声明；</w:t>
      </w:r>
    </w:p>
    <w:p>
      <w:pPr>
        <w:pStyle w:val="null3"/>
      </w:pPr>
      <w:r>
        <w:rPr>
          <w:rFonts w:ascii="仿宋_GB2312" w:hAnsi="仿宋_GB2312" w:cs="仿宋_GB2312" w:eastAsia="仿宋_GB2312"/>
        </w:rPr>
        <w:t>8、信用截图：供应商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null3"/>
      </w:pPr>
      <w:r>
        <w:rPr>
          <w:rFonts w:ascii="仿宋_GB2312" w:hAnsi="仿宋_GB2312" w:cs="仿宋_GB2312" w:eastAsia="仿宋_GB2312"/>
        </w:rPr>
        <w:t>9、是否接受联合体：本项目不接受联合体投标。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铜川市耀州区孙思邈中医院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铜川市耀州区永安南路51号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0919-6181954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西安市浐灞生态区灞河西岸世园大观3号楼5层501-503室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18066935787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代理服务费收费标准：根据发改价格[2011]534号文件及《国家发展改革委关于进一步放开建设项目专业服务价格的通知》（发改价格〔2015〕299号）文规定收取代理服务费。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铜川市耀州区孙思邈中医院</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铜川市耀州区孙思邈中医院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铜川市耀州区孙思邈中医院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联系人：杜工</w:t>
      </w:r>
    </w:p>
    <w:p>
      <w:pPr>
        <w:pStyle w:val="null3"/>
      </w:pPr>
      <w:r>
        <w:rPr>
          <w:rFonts w:ascii="仿宋_GB2312" w:hAnsi="仿宋_GB2312" w:cs="仿宋_GB2312" w:eastAsia="仿宋_GB2312"/>
        </w:rPr>
        <w:t>联系电话：18066935787</w:t>
      </w:r>
    </w:p>
    <w:p>
      <w:pPr>
        <w:pStyle w:val="null3"/>
      </w:pPr>
      <w:r>
        <w:rPr>
          <w:rFonts w:ascii="仿宋_GB2312" w:hAnsi="仿宋_GB2312" w:cs="仿宋_GB2312" w:eastAsia="仿宋_GB2312"/>
        </w:rPr>
        <w:t>地址：西安市浐灞生态区灞河西岸世园大观3号楼5层501-503室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铜川市耀州区孙思邈中医院传承创新发展示范试点（中医优势重点专病专科建设及医联体信息化升级）项目。具体详见竞争性磋商文件。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1,685,000.00</w:t>
      </w:r>
    </w:p>
    <w:p>
      <w:pPr>
        <w:pStyle w:val="null3"/>
      </w:pPr>
      <w:r>
        <w:rPr>
          <w:rFonts w:ascii="仿宋_GB2312" w:hAnsi="仿宋_GB2312" w:cs="仿宋_GB2312" w:eastAsia="仿宋_GB2312"/>
        </w:rPr>
        <w:t>采购包最高限价（元）: 1,685,000.00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铜川市耀州区孙思邈中医院传承创新发展示范试点（中医优势重点专病专科建设及医联体信息化升级）项目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标的名称：铜川市耀州区孙思邈中医院传承创新发展示范试点（中医优势重点专病专科建设及医联体信息化升级）项目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49"/>
              <w:gridCol w:w="1028"/>
              <w:gridCol w:w="267"/>
              <w:gridCol w:w="404"/>
            </w:tblGrid>
            <w:tr>
              <w:tc>
                <w:tcPr>
                  <w:tcW w:type="dxa" w:w="1848"/>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811"/>
                    <w:jc w:val="both"/>
                  </w:pPr>
                  <w:r>
                    <w:rPr>
                      <w:rFonts w:ascii="仿宋_GB2312" w:hAnsi="仿宋_GB2312" w:cs="仿宋_GB2312" w:eastAsia="仿宋_GB2312"/>
                      <w:sz w:val="40"/>
                      <w:b/>
                      <w:color w:val="000000"/>
                    </w:rPr>
                    <w:t>项目内容汇总表</w:t>
                  </w:r>
                </w:p>
              </w:tc>
            </w:tr>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名称</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电子发票接口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国家医保支付接口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医保电子处方接口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路由器（医保、政务等）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路由器（电子发票）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传染病智能监测预警报送接口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服务器（传染病智能监测预警报送）</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DRG系统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自助胶片打印接口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食源性上报接口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食源性软件年服务费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环节质控管理终末质控管理系统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智能审方系统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服务器（脾胃病</w:t>
                  </w:r>
                  <w:r>
                    <w:rPr>
                      <w:rFonts w:ascii="仿宋_GB2312" w:hAnsi="仿宋_GB2312" w:cs="仿宋_GB2312" w:eastAsia="仿宋_GB2312"/>
                      <w:sz w:val="22"/>
                      <w:color w:val="000000"/>
                    </w:rPr>
                    <w:t>1、心脑病1、康复医学科1、肺病1、针灸推拿科1、治未病1）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服务器（财务</w:t>
                  </w:r>
                  <w:r>
                    <w:rPr>
                      <w:rFonts w:ascii="仿宋_GB2312" w:hAnsi="仿宋_GB2312" w:cs="仿宋_GB2312" w:eastAsia="仿宋_GB2312"/>
                      <w:sz w:val="22"/>
                      <w:color w:val="000000"/>
                    </w:rPr>
                    <w:t>1、糖尿病1）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财务系统（含</w:t>
                  </w:r>
                  <w:r>
                    <w:rPr>
                      <w:rFonts w:ascii="仿宋_GB2312" w:hAnsi="仿宋_GB2312" w:cs="仿宋_GB2312" w:eastAsia="仿宋_GB2312"/>
                      <w:sz w:val="22"/>
                      <w:color w:val="000000"/>
                    </w:rPr>
                    <w:t>HIS接口）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医保药品追溯接口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省医保信息平台</w:t>
                  </w:r>
                  <w:r>
                    <w:rPr>
                      <w:rFonts w:ascii="仿宋_GB2312" w:hAnsi="仿宋_GB2312" w:cs="仿宋_GB2312" w:eastAsia="仿宋_GB2312"/>
                      <w:sz w:val="22"/>
                      <w:color w:val="000000"/>
                    </w:rPr>
                    <w:t>DRG模块测试应用接口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40"/>
                <w:b/>
                <w:color w:val="000000"/>
              </w:rPr>
              <w:t>项目内容明细表</w:t>
            </w:r>
          </w:p>
          <w:tbl>
            <w:tblPr>
              <w:tblInd w:type="dxa" w:w="135"/>
              <w:tblBorders>
                <w:top w:val="none" w:color="000000" w:sz="4"/>
                <w:left w:val="none" w:color="000000" w:sz="4"/>
                <w:bottom w:val="none" w:color="000000" w:sz="4"/>
                <w:right w:val="none" w:color="000000" w:sz="4"/>
                <w:insideH w:val="none"/>
                <w:insideV w:val="none"/>
              </w:tblBorders>
            </w:tblPr>
            <w:tblGrid>
              <w:gridCol w:w="252"/>
              <w:gridCol w:w="242"/>
              <w:gridCol w:w="1113"/>
              <w:gridCol w:w="121"/>
              <w:gridCol w:w="124"/>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细化内容</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紧密型医联体建设</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财务系统（含</w:t>
                  </w:r>
                  <w:r>
                    <w:rPr>
                      <w:rFonts w:ascii="仿宋_GB2312" w:hAnsi="仿宋_GB2312" w:cs="仿宋_GB2312" w:eastAsia="仿宋_GB2312"/>
                      <w:sz w:val="22"/>
                      <w:color w:val="000000"/>
                    </w:rPr>
                    <w:t>HIS接口）</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实财务会计、</w:t>
                  </w:r>
                  <w:r>
                    <w:rPr>
                      <w:rFonts w:ascii="仿宋_GB2312" w:hAnsi="仿宋_GB2312" w:cs="仿宋_GB2312" w:eastAsia="仿宋_GB2312"/>
                      <w:sz w:val="22"/>
                      <w:color w:val="000000"/>
                    </w:rPr>
                    <w:t>2019新政府会计制度：</w:t>
                  </w:r>
                  <w:r>
                    <w:br/>
                  </w:r>
                  <w:r>
                    <w:rPr>
                      <w:rFonts w:ascii="仿宋_GB2312" w:hAnsi="仿宋_GB2312" w:cs="仿宋_GB2312" w:eastAsia="仿宋_GB2312"/>
                      <w:sz w:val="22"/>
                      <w:color w:val="000000"/>
                    </w:rPr>
                    <w:t>1、符合财政部《政府会计制度-行政事业单位会计科目和报表》（财会[2017]25号）和《医院执行&lt;政府会计制度-行政事业单位会计科目和报表&gt;的补充规定和衔接规定》（财会[2018]24号）等相关文件；</w:t>
                  </w:r>
                  <w:r>
                    <w:br/>
                  </w:r>
                  <w:r>
                    <w:rPr>
                      <w:rFonts w:ascii="仿宋_GB2312" w:hAnsi="仿宋_GB2312" w:cs="仿宋_GB2312" w:eastAsia="仿宋_GB2312"/>
                      <w:sz w:val="22"/>
                      <w:color w:val="000000"/>
                    </w:rPr>
                    <w:t>2、在同一会计核算系统中实现财务会计和预算会计双重功能，并是财务会计和预算会计有对应关联关系实现凭证联查功能，最终实现双报告生成；</w:t>
                  </w:r>
                  <w:r>
                    <w:br/>
                  </w:r>
                  <w:r>
                    <w:rPr>
                      <w:rFonts w:ascii="仿宋_GB2312" w:hAnsi="仿宋_GB2312" w:cs="仿宋_GB2312" w:eastAsia="仿宋_GB2312"/>
                      <w:sz w:val="22"/>
                      <w:color w:val="000000"/>
                    </w:rPr>
                    <w:t>财务报表：</w:t>
                  </w:r>
                  <w:r>
                    <w:br/>
                  </w:r>
                  <w:r>
                    <w:rPr>
                      <w:rFonts w:ascii="仿宋_GB2312" w:hAnsi="仿宋_GB2312" w:cs="仿宋_GB2312" w:eastAsia="仿宋_GB2312"/>
                      <w:sz w:val="22"/>
                      <w:color w:val="000000"/>
                    </w:rPr>
                    <w:t>1、提供报表模版的新增、设置、审批，可自由设置格式，定义各种取数公式；</w:t>
                  </w:r>
                  <w:r>
                    <w:br/>
                  </w:r>
                  <w:r>
                    <w:rPr>
                      <w:rFonts w:ascii="仿宋_GB2312" w:hAnsi="仿宋_GB2312" w:cs="仿宋_GB2312" w:eastAsia="仿宋_GB2312"/>
                      <w:sz w:val="22"/>
                      <w:color w:val="000000"/>
                    </w:rPr>
                    <w:t>2、报表的新建与保存、报表批量填充、自动审核、归档等功能；</w:t>
                  </w:r>
                  <w:r>
                    <w:br/>
                  </w:r>
                  <w:r>
                    <w:rPr>
                      <w:rFonts w:ascii="仿宋_GB2312" w:hAnsi="仿宋_GB2312" w:cs="仿宋_GB2312" w:eastAsia="仿宋_GB2312"/>
                      <w:sz w:val="22"/>
                      <w:color w:val="000000"/>
                    </w:rPr>
                    <w:t>3、报表的关联查询、多表页处理、生成符合制度的固定样式电子报表；</w:t>
                  </w:r>
                  <w:r>
                    <w:br/>
                  </w:r>
                  <w:r>
                    <w:rPr>
                      <w:rFonts w:ascii="仿宋_GB2312" w:hAnsi="仿宋_GB2312" w:cs="仿宋_GB2312" w:eastAsia="仿宋_GB2312"/>
                      <w:sz w:val="22"/>
                      <w:color w:val="000000"/>
                    </w:rPr>
                    <w:t>4、提供数据关联查询功能，可跨年度、跨部门的统计，支持从医院报表到科室组织报表的关联查询；</w:t>
                  </w:r>
                  <w:r>
                    <w:br/>
                  </w:r>
                  <w:r>
                    <w:rPr>
                      <w:rFonts w:ascii="仿宋_GB2312" w:hAnsi="仿宋_GB2312" w:cs="仿宋_GB2312" w:eastAsia="仿宋_GB2312"/>
                      <w:sz w:val="22"/>
                      <w:color w:val="000000"/>
                    </w:rPr>
                    <w:t>5、丰富的报表计算功能；</w:t>
                  </w:r>
                  <w:r>
                    <w:br/>
                  </w:r>
                  <w:r>
                    <w:rPr>
                      <w:rFonts w:ascii="仿宋_GB2312" w:hAnsi="仿宋_GB2312" w:cs="仿宋_GB2312" w:eastAsia="仿宋_GB2312"/>
                      <w:sz w:val="22"/>
                      <w:color w:val="000000"/>
                    </w:rPr>
                    <w:t>6、提供灵活多样的自定义报表。</w:t>
                  </w:r>
                  <w:r>
                    <w:br/>
                  </w:r>
                  <w:r>
                    <w:rPr>
                      <w:rFonts w:ascii="仿宋_GB2312" w:hAnsi="仿宋_GB2312" w:cs="仿宋_GB2312" w:eastAsia="仿宋_GB2312"/>
                      <w:sz w:val="22"/>
                      <w:color w:val="000000"/>
                    </w:rPr>
                    <w:t>医院收入入账管理：</w:t>
                  </w:r>
                  <w:r>
                    <w:br/>
                  </w:r>
                  <w:r>
                    <w:rPr>
                      <w:rFonts w:ascii="仿宋_GB2312" w:hAnsi="仿宋_GB2312" w:cs="仿宋_GB2312" w:eastAsia="仿宋_GB2312"/>
                      <w:sz w:val="22"/>
                      <w:color w:val="000000"/>
                    </w:rPr>
                    <w:t>1、收入入账管理是通过采集医院HIS系统的门诊、住院、预交金数据，完成自动生成财务凭证。</w:t>
                  </w:r>
                  <w:r>
                    <w:br/>
                  </w:r>
                  <w:r>
                    <w:rPr>
                      <w:rFonts w:ascii="仿宋_GB2312" w:hAnsi="仿宋_GB2312" w:cs="仿宋_GB2312" w:eastAsia="仿宋_GB2312"/>
                      <w:sz w:val="22"/>
                      <w:color w:val="000000"/>
                    </w:rPr>
                    <w:t>2、提供科室、收费类别、客户档案、支付方式等对照功能；</w:t>
                  </w:r>
                  <w:r>
                    <w:br/>
                  </w:r>
                  <w:r>
                    <w:rPr>
                      <w:rFonts w:ascii="仿宋_GB2312" w:hAnsi="仿宋_GB2312" w:cs="仿宋_GB2312" w:eastAsia="仿宋_GB2312"/>
                      <w:sz w:val="22"/>
                      <w:color w:val="000000"/>
                    </w:rPr>
                    <w:t>3、提供中间库或视图方式采集HIS数据；</w:t>
                  </w:r>
                  <w:r>
                    <w:br/>
                  </w:r>
                  <w:r>
                    <w:rPr>
                      <w:rFonts w:ascii="仿宋_GB2312" w:hAnsi="仿宋_GB2312" w:cs="仿宋_GB2312" w:eastAsia="仿宋_GB2312"/>
                      <w:sz w:val="22"/>
                      <w:color w:val="000000"/>
                    </w:rPr>
                    <w:t>4、提供自定义凭证模板功能，可根据财务需求自定义凭证模板；</w:t>
                  </w:r>
                  <w:r>
                    <w:br/>
                  </w:r>
                  <w:r>
                    <w:rPr>
                      <w:rFonts w:ascii="仿宋_GB2312" w:hAnsi="仿宋_GB2312" w:cs="仿宋_GB2312" w:eastAsia="仿宋_GB2312"/>
                      <w:sz w:val="22"/>
                      <w:color w:val="000000"/>
                    </w:rPr>
                    <w:t>5、提供门诊、住院收入应收、实收核算功能，提供预收金收入、体检收入核算功能；</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CPU：&gt;=2*4210（2.2GHz/10核） 内存：&gt;=2*32GB DDR4 硬盘&gt;=3*4TB  7.2K SATA</w:t>
                  </w:r>
                  <w:r>
                    <w:rPr>
                      <w:rFonts w:ascii="仿宋_GB2312" w:hAnsi="仿宋_GB2312" w:cs="仿宋_GB2312" w:eastAsia="仿宋_GB2312"/>
                      <w:sz w:val="22"/>
                      <w:color w:val="000000"/>
                    </w:rPr>
                    <w:t>≥ 2*1GE ≥2*550W 导轨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三年</w:t>
                  </w:r>
                  <w:r>
                    <w:rPr>
                      <w:rFonts w:ascii="仿宋_GB2312" w:hAnsi="仿宋_GB2312" w:cs="仿宋_GB2312" w:eastAsia="仿宋_GB2312"/>
                      <w:sz w:val="22"/>
                      <w:color w:val="000000"/>
                    </w:rPr>
                    <w:t>质保</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环节质控管理终末质控管</w:t>
                  </w:r>
                  <w:r>
                    <w:rPr>
                      <w:rFonts w:ascii="仿宋_GB2312" w:hAnsi="仿宋_GB2312" w:cs="仿宋_GB2312" w:eastAsia="仿宋_GB2312"/>
                      <w:sz w:val="22"/>
                      <w:color w:val="000000"/>
                    </w:rPr>
                    <w:t>理系统</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全院病历质量控制。电子病历的事前质控、事中质控、事后质控等。</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DRG系统</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实现医院病区临床业务的闭环管理。系统可对病区在院患者进行实时监控，掌控患者实时分组情况、费用情况、药占比、医保资金盈亏。</w:t>
                  </w:r>
                  <w:r>
                    <w:br/>
                  </w:r>
                  <w:r>
                    <w:rPr>
                      <w:rFonts w:ascii="仿宋_GB2312" w:hAnsi="仿宋_GB2312" w:cs="仿宋_GB2312" w:eastAsia="仿宋_GB2312"/>
                      <w:sz w:val="22"/>
                      <w:color w:val="000000"/>
                    </w:rPr>
                    <w:t>基础管理</w:t>
                  </w:r>
                  <w:r>
                    <w:br/>
                  </w:r>
                  <w:r>
                    <w:rPr>
                      <w:rFonts w:ascii="仿宋_GB2312" w:hAnsi="仿宋_GB2312" w:cs="仿宋_GB2312" w:eastAsia="仿宋_GB2312"/>
                      <w:sz w:val="22"/>
                      <w:color w:val="000000"/>
                    </w:rPr>
                    <w:t>部门管理：维护医院科室信息，与</w:t>
                  </w:r>
                  <w:r>
                    <w:rPr>
                      <w:rFonts w:ascii="仿宋_GB2312" w:hAnsi="仿宋_GB2312" w:cs="仿宋_GB2312" w:eastAsia="仿宋_GB2312"/>
                      <w:sz w:val="22"/>
                      <w:color w:val="000000"/>
                    </w:rPr>
                    <w:t>HIS科室对应</w:t>
                  </w:r>
                  <w:r>
                    <w:br/>
                  </w:r>
                  <w:r>
                    <w:rPr>
                      <w:rFonts w:ascii="仿宋_GB2312" w:hAnsi="仿宋_GB2312" w:cs="仿宋_GB2312" w:eastAsia="仿宋_GB2312"/>
                      <w:sz w:val="22"/>
                      <w:color w:val="000000"/>
                    </w:rPr>
                    <w:t>人员管理：维护医院人员信息，与</w:t>
                  </w:r>
                  <w:r>
                    <w:rPr>
                      <w:rFonts w:ascii="仿宋_GB2312" w:hAnsi="仿宋_GB2312" w:cs="仿宋_GB2312" w:eastAsia="仿宋_GB2312"/>
                      <w:sz w:val="22"/>
                      <w:color w:val="000000"/>
                    </w:rPr>
                    <w:t>HIS人员对应</w:t>
                  </w:r>
                  <w:r>
                    <w:br/>
                  </w:r>
                  <w:r>
                    <w:rPr>
                      <w:rFonts w:ascii="仿宋_GB2312" w:hAnsi="仿宋_GB2312" w:cs="仿宋_GB2312" w:eastAsia="仿宋_GB2312"/>
                      <w:sz w:val="22"/>
                      <w:color w:val="000000"/>
                    </w:rPr>
                    <w:t>人员分配角色</w:t>
                  </w:r>
                  <w:r>
                    <w:br/>
                  </w:r>
                  <w:r>
                    <w:rPr>
                      <w:rFonts w:ascii="仿宋_GB2312" w:hAnsi="仿宋_GB2312" w:cs="仿宋_GB2312" w:eastAsia="仿宋_GB2312"/>
                      <w:sz w:val="22"/>
                      <w:color w:val="000000"/>
                    </w:rPr>
                    <w:t>报表管理：维护医院自定义报表</w:t>
                  </w:r>
                  <w:r>
                    <w:br/>
                  </w:r>
                  <w:r>
                    <w:rPr>
                      <w:rFonts w:ascii="仿宋_GB2312" w:hAnsi="仿宋_GB2312" w:cs="仿宋_GB2312" w:eastAsia="仿宋_GB2312"/>
                      <w:sz w:val="22"/>
                      <w:color w:val="000000"/>
                    </w:rPr>
                    <w:t>图表管理：维护医院自定义图表</w:t>
                  </w:r>
                  <w:r>
                    <w:br/>
                  </w:r>
                  <w:r>
                    <w:rPr>
                      <w:rFonts w:ascii="仿宋_GB2312" w:hAnsi="仿宋_GB2312" w:cs="仿宋_GB2312" w:eastAsia="仿宋_GB2312"/>
                      <w:sz w:val="22"/>
                      <w:color w:val="000000"/>
                    </w:rPr>
                    <w:t>DRG分组管理</w:t>
                  </w:r>
                  <w:r>
                    <w:br/>
                  </w:r>
                  <w:r>
                    <w:rPr>
                      <w:rFonts w:ascii="仿宋_GB2312" w:hAnsi="仿宋_GB2312" w:cs="仿宋_GB2312" w:eastAsia="仿宋_GB2312"/>
                      <w:sz w:val="22"/>
                      <w:color w:val="000000"/>
                    </w:rPr>
                    <w:t>绩效考核数据分组：跟据绩效考核数据进行预分组</w:t>
                  </w:r>
                  <w:r>
                    <w:br/>
                  </w:r>
                  <w:r>
                    <w:rPr>
                      <w:rFonts w:ascii="仿宋_GB2312" w:hAnsi="仿宋_GB2312" w:cs="仿宋_GB2312" w:eastAsia="仿宋_GB2312"/>
                      <w:sz w:val="22"/>
                      <w:color w:val="000000"/>
                    </w:rPr>
                    <w:t>首页质控记录：</w:t>
                  </w:r>
                  <w:r>
                    <w:br/>
                  </w:r>
                  <w:r>
                    <w:rPr>
                      <w:rFonts w:ascii="仿宋_GB2312" w:hAnsi="仿宋_GB2312" w:cs="仿宋_GB2312" w:eastAsia="仿宋_GB2312"/>
                      <w:sz w:val="22"/>
                      <w:color w:val="000000"/>
                    </w:rPr>
                    <w:t>查询时间段内病案首页质控记录</w:t>
                  </w:r>
                  <w:r>
                    <w:br/>
                  </w:r>
                  <w:r>
                    <w:rPr>
                      <w:rFonts w:ascii="仿宋_GB2312" w:hAnsi="仿宋_GB2312" w:cs="仿宋_GB2312" w:eastAsia="仿宋_GB2312"/>
                      <w:sz w:val="22"/>
                      <w:color w:val="000000"/>
                    </w:rPr>
                    <w:t>支持查询数据下载</w:t>
                  </w:r>
                  <w:r>
                    <w:br/>
                  </w:r>
                  <w:r>
                    <w:rPr>
                      <w:rFonts w:ascii="仿宋_GB2312" w:hAnsi="仿宋_GB2312" w:cs="仿宋_GB2312" w:eastAsia="仿宋_GB2312"/>
                      <w:sz w:val="22"/>
                      <w:color w:val="000000"/>
                    </w:rPr>
                    <w:t>质控规则管理</w:t>
                  </w:r>
                  <w:r>
                    <w:br/>
                  </w:r>
                  <w:r>
                    <w:rPr>
                      <w:rFonts w:ascii="仿宋_GB2312" w:hAnsi="仿宋_GB2312" w:cs="仿宋_GB2312" w:eastAsia="仿宋_GB2312"/>
                      <w:sz w:val="22"/>
                      <w:color w:val="000000"/>
                    </w:rPr>
                    <w:t>空项质控：设置清单、首页空项质控规则</w:t>
                  </w:r>
                  <w:r>
                    <w:br/>
                  </w:r>
                  <w:r>
                    <w:rPr>
                      <w:rFonts w:ascii="仿宋_GB2312" w:hAnsi="仿宋_GB2312" w:cs="仿宋_GB2312" w:eastAsia="仿宋_GB2312"/>
                      <w:sz w:val="22"/>
                      <w:color w:val="000000"/>
                    </w:rPr>
                    <w:t>性别诊断手术质控：设置清单、首页男性不能使用女性诊断，女性不能使用男性诊断</w:t>
                  </w:r>
                  <w:r>
                    <w:br/>
                  </w:r>
                  <w:r>
                    <w:rPr>
                      <w:rFonts w:ascii="仿宋_GB2312" w:hAnsi="仿宋_GB2312" w:cs="仿宋_GB2312" w:eastAsia="仿宋_GB2312"/>
                      <w:sz w:val="22"/>
                      <w:color w:val="000000"/>
                    </w:rPr>
                    <w:t>结算清单管理</w:t>
                  </w:r>
                  <w:r>
                    <w:br/>
                  </w:r>
                  <w:r>
                    <w:rPr>
                      <w:rFonts w:ascii="仿宋_GB2312" w:hAnsi="仿宋_GB2312" w:cs="仿宋_GB2312" w:eastAsia="仿宋_GB2312"/>
                      <w:sz w:val="22"/>
                      <w:color w:val="000000"/>
                    </w:rPr>
                    <w:t>质控分类管理：维护质控分类，指定质控分类规则</w:t>
                  </w:r>
                  <w:r>
                    <w:br/>
                  </w:r>
                  <w:r>
                    <w:rPr>
                      <w:rFonts w:ascii="仿宋_GB2312" w:hAnsi="仿宋_GB2312" w:cs="仿宋_GB2312" w:eastAsia="仿宋_GB2312"/>
                      <w:sz w:val="22"/>
                      <w:color w:val="000000"/>
                    </w:rPr>
                    <w:t>结算清单质控：</w:t>
                  </w:r>
                  <w:r>
                    <w:rPr>
                      <w:rFonts w:ascii="仿宋_GB2312" w:hAnsi="仿宋_GB2312" w:cs="仿宋_GB2312" w:eastAsia="仿宋_GB2312"/>
                      <w:sz w:val="22"/>
                      <w:color w:val="000000"/>
                    </w:rPr>
                    <w:t>1.对一段时间内结算清单进行分类查询查询，显示需质控数、已质控数、未质控数</w:t>
                  </w:r>
                  <w:r>
                    <w:br/>
                  </w:r>
                  <w:r>
                    <w:rPr>
                      <w:rFonts w:ascii="仿宋_GB2312" w:hAnsi="仿宋_GB2312" w:cs="仿宋_GB2312" w:eastAsia="仿宋_GB2312"/>
                      <w:sz w:val="22"/>
                      <w:color w:val="000000"/>
                    </w:rPr>
                    <w:t>结算清单上传：查询一段时间内已质控需上传的结算清单数据</w:t>
                  </w:r>
                  <w:r>
                    <w:br/>
                  </w:r>
                  <w:r>
                    <w:rPr>
                      <w:rFonts w:ascii="仿宋_GB2312" w:hAnsi="仿宋_GB2312" w:cs="仿宋_GB2312" w:eastAsia="仿宋_GB2312"/>
                      <w:sz w:val="22"/>
                      <w:color w:val="000000"/>
                    </w:rPr>
                    <w:t>清单明细上传：查询一段时间内已上传的患者明细</w:t>
                  </w:r>
                  <w:r>
                    <w:br/>
                  </w:r>
                  <w:r>
                    <w:rPr>
                      <w:rFonts w:ascii="仿宋_GB2312" w:hAnsi="仿宋_GB2312" w:cs="仿宋_GB2312" w:eastAsia="仿宋_GB2312"/>
                      <w:sz w:val="22"/>
                      <w:color w:val="000000"/>
                    </w:rPr>
                    <w:t>清单质控记录：查询一段时间内结算清单质控记录</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智能审方系统</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药剂师对处方进行审查的系统。药师审方干预功能、待审处方提示、药师人工审查、处方状态标记、审方干预自定义及合理用药预警系统、处方点评审核系统的升级</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医保药品追溯接口</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按照医保要求，院内</w:t>
                  </w:r>
                  <w:r>
                    <w:rPr>
                      <w:rFonts w:ascii="仿宋_GB2312" w:hAnsi="仿宋_GB2312" w:cs="仿宋_GB2312" w:eastAsia="仿宋_GB2312"/>
                      <w:sz w:val="22"/>
                      <w:color w:val="000000"/>
                    </w:rPr>
                    <w:t>HIS系统要做药品进销存数据上传改造、药品追溯信息采集改造、医保数据格式化改造、医保动态库升级和医保接口加密改造。</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省医保信息平台</w:t>
                  </w:r>
                  <w:r>
                    <w:rPr>
                      <w:rFonts w:ascii="仿宋_GB2312" w:hAnsi="仿宋_GB2312" w:cs="仿宋_GB2312" w:eastAsia="仿宋_GB2312"/>
                      <w:sz w:val="22"/>
                      <w:color w:val="000000"/>
                    </w:rPr>
                    <w:t>DRG模块测试应用接口</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按照省、市关于支付方式管理子系统功能模块使用衔接工作的有关要求，市经办中心近期对省平台</w:t>
                  </w:r>
                  <w:r>
                    <w:rPr>
                      <w:rFonts w:ascii="仿宋_GB2312" w:hAnsi="仿宋_GB2312" w:cs="仿宋_GB2312" w:eastAsia="仿宋_GB2312"/>
                      <w:sz w:val="22"/>
                      <w:color w:val="000000"/>
                    </w:rPr>
                    <w:t>DRG 月结各项功能模块进行HIS医保全流程测试接口改造。</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糖尿病专科建设</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CPU：&gt;=2*4210（2.2GHz/10核） 内存：&gt;=2*32GB DDR4 硬盘&gt;=3*4TB  7.2K S</w:t>
                  </w:r>
                  <w:r>
                    <w:rPr>
                      <w:rFonts w:ascii="仿宋_GB2312" w:hAnsi="仿宋_GB2312" w:cs="仿宋_GB2312" w:eastAsia="仿宋_GB2312"/>
                      <w:sz w:val="22"/>
                      <w:color w:val="000000"/>
                    </w:rPr>
                    <w:t>ATA ≥2*1GE ≥2*550W 导轨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不低于三年质保</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电子发票接口</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通过接口方式完成</w:t>
                  </w:r>
                  <w:r>
                    <w:rPr>
                      <w:rFonts w:ascii="仿宋_GB2312" w:hAnsi="仿宋_GB2312" w:cs="仿宋_GB2312" w:eastAsia="仿宋_GB2312"/>
                      <w:sz w:val="22"/>
                      <w:color w:val="000000"/>
                    </w:rPr>
                    <w:t>HIS与国家财政电子发票对接。</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脾胃病专科建设</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CPU：&gt;=1*3204（1.9GHz/6核） 内存：&gt;=2*32GB DDR4  硬盘：&gt;=2*2TB SATA </w:t>
                  </w:r>
                  <w:r>
                    <w:rPr>
                      <w:rFonts w:ascii="仿宋_GB2312" w:hAnsi="仿宋_GB2312" w:cs="仿宋_GB2312" w:eastAsia="仿宋_GB2312"/>
                      <w:sz w:val="22"/>
                      <w:color w:val="000000"/>
                    </w:rPr>
                    <w:t>≥2*1GE ≥550W 导轨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不低于三年质保</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食源性上报接口</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根据国家政策要求完成食源性疾病接口数据上报</w:t>
                  </w:r>
                  <w:r>
                    <w:rPr>
                      <w:rFonts w:ascii="仿宋_GB2312" w:hAnsi="仿宋_GB2312" w:cs="仿宋_GB2312" w:eastAsia="仿宋_GB2312"/>
                      <w:sz w:val="22"/>
                      <w:color w:val="000000"/>
                    </w:rPr>
                    <w:t>,完成与HIS系统对接。</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食源性软件年服务费</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食源性软件售后维保费用以年为单位。</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传染病智能监测预警报送接口</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通过接口方式完成传染病智能监测预警报送，完成与</w:t>
                  </w:r>
                  <w:r>
                    <w:rPr>
                      <w:rFonts w:ascii="仿宋_GB2312" w:hAnsi="仿宋_GB2312" w:cs="仿宋_GB2312" w:eastAsia="仿宋_GB2312"/>
                      <w:sz w:val="22"/>
                      <w:color w:val="000000"/>
                    </w:rPr>
                    <w:t>HIS系统对接。</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服务器（传染病智能检测预警报送）</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CPU:&gt;= 64核 内存：&gt;=8*32G DDR4 3200 硬盘：&gt;=1*960G SSD </w:t>
                  </w:r>
                  <w:r>
                    <w:rPr>
                      <w:rFonts w:ascii="仿宋_GB2312" w:hAnsi="仿宋_GB2312" w:cs="仿宋_GB2312" w:eastAsia="仿宋_GB2312"/>
                      <w:sz w:val="22"/>
                      <w:color w:val="000000"/>
                    </w:rPr>
                    <w:t>≥2*千兆口  ≥550W 导轨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不低于三年质保</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心脑病专科建设</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CPU：&gt;=1*3204（1.9GHz/6核） 内存：&gt;=2*32GB DDR4  硬盘：&gt;=2*2TB </w:t>
                  </w:r>
                  <w:r>
                    <w:rPr>
                      <w:rFonts w:ascii="仿宋_GB2312" w:hAnsi="仿宋_GB2312" w:cs="仿宋_GB2312" w:eastAsia="仿宋_GB2312"/>
                      <w:sz w:val="22"/>
                      <w:color w:val="000000"/>
                    </w:rPr>
                    <w:t>SATA ≥2*1GE ≥550W 导轨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不低于三年质保</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医保电子处方接口</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通过接口方式完成医保电子处方的上传，上传处方经医师签名且药师审核通过。</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康复医学科建设</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CPU：&gt;=1*3204（1.9GHz/6核） 内存：&gt;=2*32GB DDR4  硬盘：&gt;=2*2TB SATA</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≥2*1GE ≥550W 导轨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不低于三年质保</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国家医保支付接口</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医保病人费用处理功能，包括身份验证、费用划分、上传及统计等；提供维护功能，包括对维护药品、诊疗目录并与医院信息系统中的字典进行对照维护等。提供医保病人费用处理功能，线上完成平台支付对接。</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肺病专科建设</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CPU：&gt;=1*3204（1.9GHz/6核） 内存：&gt;=2*32GB DDR4  硬盘：&gt;=2*2TB SATA</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≥2*1GE ≥550W 导轨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不低于三年质保</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自助胶片打印接口</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实现患者胶片自助打印机与</w:t>
                  </w:r>
                  <w:r>
                    <w:rPr>
                      <w:rFonts w:ascii="仿宋_GB2312" w:hAnsi="仿宋_GB2312" w:cs="仿宋_GB2312" w:eastAsia="仿宋_GB2312"/>
                      <w:sz w:val="22"/>
                      <w:color w:val="000000"/>
                    </w:rPr>
                    <w:t>HIS系统对接。</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针灸推拿科建设</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C</w:t>
                  </w:r>
                  <w:r>
                    <w:rPr>
                      <w:rFonts w:ascii="仿宋_GB2312" w:hAnsi="仿宋_GB2312" w:cs="仿宋_GB2312" w:eastAsia="仿宋_GB2312"/>
                      <w:sz w:val="22"/>
                      <w:color w:val="000000"/>
                    </w:rPr>
                    <w:t>PU：&gt;=1*3204（1.9GHz/6核） 内存：&gt;=2*32GB DDR4  硬盘：&gt;=2*2TB SATA ≥2*1GE ≥550W 导轨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不低于三年质保</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路由器（电子发票）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吞吐率</w:t>
                  </w:r>
                  <w:r>
                    <w:rPr>
                      <w:rFonts w:ascii="仿宋_GB2312" w:hAnsi="仿宋_GB2312" w:cs="仿宋_GB2312" w:eastAsia="仿宋_GB2312"/>
                      <w:sz w:val="22"/>
                      <w:color w:val="000000"/>
                    </w:rPr>
                    <w:t>:&gt;=1Gbps，带机量:&gt;=200-400，适用带宽:</w:t>
                  </w:r>
                  <w:r>
                    <w:rPr>
                      <w:rFonts w:ascii="仿宋_GB2312" w:hAnsi="仿宋_GB2312" w:cs="仿宋_GB2312" w:eastAsia="仿宋_GB2312"/>
                      <w:sz w:val="22"/>
                      <w:color w:val="000000"/>
                    </w:rPr>
                    <w:t>≥</w:t>
                  </w:r>
                  <w:r>
                    <w:rPr>
                      <w:rFonts w:ascii="仿宋_GB2312" w:hAnsi="仿宋_GB2312" w:cs="仿宋_GB2312" w:eastAsia="仿宋_GB2312"/>
                      <w:sz w:val="22"/>
                      <w:color w:val="000000"/>
                    </w:rPr>
                    <w:t>1Gbps，可管理AP数：&gt;=32，扩展槽位:≥2*SI，C接口:LAN:≥4*GE，WAN：≥1*GE+1SFP</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治未病专科建设</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CPU：&gt;=1*3204（1.9GHz/6核） 内存：&gt;=2*32GB DDR4  硬盘：&gt;=2*2</w:t>
                  </w:r>
                  <w:r>
                    <w:rPr>
                      <w:rFonts w:ascii="仿宋_GB2312" w:hAnsi="仿宋_GB2312" w:cs="仿宋_GB2312" w:eastAsia="仿宋_GB2312"/>
                      <w:sz w:val="22"/>
                      <w:color w:val="000000"/>
                    </w:rPr>
                    <w:t>TB SATA ≥2*1GE ≥550W 导轨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不低于三年质保</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52"/>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路由器（医保、政务等）</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FLASH &gt;=256M；内存：&gt;=2G；交换容量：&gt;=215Gbps；包转发率：&gt;=3Mpps；Qos支持</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针对本项目投入专业服务团队，结构合理，分工明确。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一、质保期：自项目验收合格后，硬件质保3年，软件质保1年。 二、售后服务： 所有产品质量必须符合行业标准，国标有强制性规定或政策要求的按国标执行。所有货物必须是未使用过的新产品，质量优良、渠道正当。 硬件设备，质保期出现的质量问题由成交供应商负责解决并承担所有费用。质保期后如需维修，成交供应商应以优惠价提供。 三、包装、运输、安装及调试要求： （1）包装：应采取防潮、防晒、防腐蚀、防震动及防止其它损坏的必要措施。中标人应承担由于其包装或防护措施不妥而引起的货物锈蚀、损坏和丢失等任何损失造成的责任或费用。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（2）运输：选择运输风险小、运费低、距离短的运输路线。运杂费一次包死在总价内，含装卸、运输、现场保管费、二次倒运费等费用。 （3）安装、调试：成交供应商负责所有设备/软件的安装、调试、培训工作，所有费用一次包死在总价内。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甲乙双方签订合同后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乙方服务全部到位并验收合格后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1.由于一方过失造成合同不能履行时，由过失一方承担违约责任，如属双方过失，根据实际情况，由双方承担各自的违约责任，如属不可抗力因素，双方协商解决。 2.货物到现场后，双方应组织对品种、规格、质量、数量、交货时间等内容进行开箱验收，如果甲方未在3个工作日内验收，则视为验收合格，如其中任何一项不符合本合同规定时，甲方有权要求乙方退货或要求乙方于 10 个工作日内按合同规定重新向甲方交付，乙方未履行或二次履行仍不符合甲方要求的，甲方有权从合同金额中直接扣除相应款项。 3.如乙方由于自身条件所限，货物到项目所在地后，不能按甲方要求运送到双方约定地点，甲方可自行组织二次搬运，费用可从甲方给乙方的合同价款中等额扣除。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1.所属行业：软件和信息技术服务业。 2.供应商无需提交纸质响应文件，待采购结果公告后，由中标（成交）供应商补交纸质(与电子版内容保持一致)响应文件（正本壹份、副本贰份、电子版（U盘）贰份）。 3.磋商文件中凡是需要法定代表人签字或盖章之处，非法人单位的负责人均参照执行。供应商如为分支机构，则该分支机构负责人视同法定代表人。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提供2023年度的财务审计报告或开户银行出具的资信证明；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开标前近六个月内至少三个月的纳税凭证/证明，依法免税的应提供相关证明材料；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开标前近六个月内至少三个月的社会保障资金缴纳凭证/证明，依法不需要缴纳的应提供相关证明材料；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技术能力承诺</w:t>
            </w:r>
          </w:p>
        </w:tc>
        <w:tc>
          <w:tcPr>
            <w:tcW w:type="dxa" w:w="3322"/>
          </w:tcPr>
          <w:p>
            <w:pPr>
              <w:pStyle w:val="null3"/>
            </w:pPr>
            <w:r>
              <w:rPr>
                <w:rFonts w:ascii="仿宋_GB2312" w:hAnsi="仿宋_GB2312" w:cs="仿宋_GB2312" w:eastAsia="仿宋_GB2312"/>
              </w:rPr>
              <w:t>供应商应提供具有履行本合同所必需的设备和专业技术能力的说明或承诺书；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开标一览表.pdf 报价表 投标函.pdf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响应文件签字盖章、格式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封面.pdf 技术偏离表.pdf 服务方案.pdf 开标一览表.pdf 标的清单 其他.pdf 投标函.pdf 响应函 商务偏离表.pdf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w:t>
            </w:r>
          </w:p>
        </w:tc>
        <w:tc>
          <w:tcPr>
            <w:tcW w:type="dxa" w:w="1661"/>
          </w:tcPr>
          <w:p>
            <w:pPr>
              <w:pStyle w:val="null3"/>
            </w:pPr>
            <w:r>
              <w:rPr>
                <w:rFonts w:ascii="仿宋_GB2312" w:hAnsi="仿宋_GB2312" w:cs="仿宋_GB2312" w:eastAsia="仿宋_GB2312"/>
              </w:rPr>
              <w:t>开标一览表.pdf 投标函.pdf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服务周期的响应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开标一览表.pdf 投标函.pdf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满足磋商文件商务条款要求</w:t>
            </w:r>
          </w:p>
        </w:tc>
        <w:tc>
          <w:tcPr>
            <w:tcW w:type="dxa" w:w="1661"/>
          </w:tcPr>
          <w:p>
            <w:pPr>
              <w:pStyle w:val="null3"/>
            </w:pPr>
            <w:r>
              <w:rPr>
                <w:rFonts w:ascii="仿宋_GB2312" w:hAnsi="仿宋_GB2312" w:cs="仿宋_GB2312" w:eastAsia="仿宋_GB2312"/>
              </w:rPr>
              <w:t>封面.pdf 服务方案.pdf 开标一览表.pdf 投标函.pdf 商务偏离表.pdf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满足磋商文件技术条款要求</w:t>
            </w:r>
          </w:p>
        </w:tc>
        <w:tc>
          <w:tcPr>
            <w:tcW w:type="dxa" w:w="1661"/>
          </w:tcPr>
          <w:p>
            <w:pPr>
              <w:pStyle w:val="null3"/>
            </w:pPr>
            <w:r>
              <w:rPr>
                <w:rFonts w:ascii="仿宋_GB2312" w:hAnsi="仿宋_GB2312" w:cs="仿宋_GB2312" w:eastAsia="仿宋_GB2312"/>
              </w:rPr>
              <w:t>技术偏离表.pdf 服务方案.pdf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封面.pdf 技术偏离表.pdf 服务方案.pdf 开标一览表.pdf 标的清单 其他.pdf 投标函.pdf 响应函 商务偏离表.pdf 资格证明文件.pdf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实施方案：根据项目实际的业务需求制定实施方案，方案内容包括但不限于：实施总体规划、实施步骤、交付计划、实施组织构成、项目管理制度、风险预见与控制能力等内容。 评审小组按其响应程度进行赋分：优得9.1-12分，良好得6.1-9分，一般得3-6分。未提供不计分。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响应：根据各供应商的应用软件功能设计的优劣情况，从功能结构、功能细化、功能特色等情况进行评分，要求供应商针对各平台子系统、功能模块的功能要点详细说明，能够依次全面、准确、图文并茂地进行描述。 评审小组按其响应程度进行赋分：优得9.1-12分，良好得6.1-9分，一般得3-6分。未提供不计分。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产品的技术指标评审</w:t>
            </w:r>
          </w:p>
        </w:tc>
        <w:tc>
          <w:tcPr>
            <w:tcW w:type="dxa" w:w="2492"/>
          </w:tcPr>
          <w:p>
            <w:pPr>
              <w:pStyle w:val="null3"/>
            </w:pPr>
            <w:r>
              <w:rPr>
                <w:rFonts w:ascii="仿宋_GB2312" w:hAnsi="仿宋_GB2312" w:cs="仿宋_GB2312" w:eastAsia="仿宋_GB2312"/>
              </w:rPr>
              <w:t>投标产品的技术指标评审：投标产品符合采购需求，产品配置完整合理，其型号、技术参数清晰明确，根据投标产品的技术指标和性能得分。投标产品附有详细的产品技术资料包括但不限于相关系统功能的截图、产品宣传彩页、产品图片、检测报告、质量保证书、承诺书等。 评审小组按其响应程度进行赋分：优得7.1-10分，良好得4.1-7分，一般得1-4分。未提供不计分。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根据项目要求提供针对本项目的培训方案，方案内容包含但不限于培训体系、培训模板、培训内容、培训方式、培训时间等。 评审小组按其响应程度进行赋分：优得7.1-10分，良好得4.1-7分，一般得1-4分。未提供不计分。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根据项目要求提供针对本项目的售后服务方案，方案内容包含但不限于售后服务管理体系、售后服务范围、售后人员安排、响应时间、应急预案等。 评审小组按其响应程度进行赋分：优得7.1-10分，良好得4.1-7分，一般得1-4分。未提供不计分。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质量保证措施科学、合理、完善可行，有针对性、根据实际需求保证服务时间和质量得7.1-10分； 质量保证措施较为完善可行，能满足实际需求得4.1-7分； 质量保证措施一般，基本能保证服务的时间和质量得1-4分。未提供不计分。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针对本项目提供项目组织架构及项目组人员配备，根据项目管理机构设置及人员配备的完整性、合理性情况赋分。评审小组按其响应程度进行赋分：优得9.1-12分，良好得6.1-9分，一般得3-6分未提供不计分。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1.供应商2022年1月1日至今承担过类似项目业绩，每个业绩得2分，最高得6分。（以成交通知书或合同签订时间为准，须提供成交通知书或合同复印件并加盖供应商公章）。 2.项目团队成员具有计算机技术与软件专业技术资格（中级或以上），每个得1分，最多得3分，未提供不得分。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针对本项目服务内容做出相应承诺。评审小组按其响应程度进行赋2-5分。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投标函.pdf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符合竞争性磋商文件规定的小微企业、监狱企业、残疾人福利企业优惠条件的供应商，价格给予10%的扣除，用扣除后的价格参与评审。</w:t>
            </w:r>
          </w:p>
        </w:tc>
        <w:tc>
          <w:tcPr>
            <w:tcW w:type="dxa" w:w="1661"/>
          </w:tcPr>
          <w:p>
            <w:pPr>
              <w:pStyle w:val="null3"/>
            </w:pPr>
            <w:r>
              <w:rPr>
                <w:rFonts w:ascii="仿宋_GB2312" w:hAnsi="仿宋_GB2312" w:cs="仿宋_GB2312" w:eastAsia="仿宋_GB2312"/>
              </w:rPr>
              <w:t>其他.pdf</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详见附件：封面.pdf</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详见附件：投标函.pdf</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详见附件：开标一览表.pdf</w:t>
      </w:r>
    </w:p>
    <w:p>
      <w:pPr>
        <w:pStyle w:val="null3"/>
        <w:ind w:firstLine="960"/>
      </w:pPr>
      <w:r>
        <w:rPr>
          <w:rFonts w:ascii="仿宋_GB2312" w:hAnsi="仿宋_GB2312" w:cs="仿宋_GB2312" w:eastAsia="仿宋_GB2312"/>
        </w:rPr>
        <w:t>详见附件：商务偏离表.pdf</w:t>
      </w:r>
    </w:p>
    <w:p>
      <w:pPr>
        <w:pStyle w:val="null3"/>
        <w:ind w:firstLine="960"/>
      </w:pPr>
      <w:r>
        <w:rPr>
          <w:rFonts w:ascii="仿宋_GB2312" w:hAnsi="仿宋_GB2312" w:cs="仿宋_GB2312" w:eastAsia="仿宋_GB2312"/>
        </w:rPr>
        <w:t>详见附件：技术偏离表.pdf</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详见附件：其他.pdf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