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版本号：ZCSP-耀州区-2025-0001920250321001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铜川市耀州区锦阳新城综合楼机关灶委托经营项目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ZCSP-耀州区-2025-00019</w:t>
      </w:r>
      <w:r>
        <w:br/>
      </w:r>
      <w:r>
        <w:br/>
      </w:r>
      <w:r>
        <w:br/>
      </w:r>
    </w:p>
    <w:p>
      <w:pPr>
        <w:pStyle w:val="null3"/>
        <w:jc w:val="center"/>
        <w:outlineLvl w:val="2"/>
      </w:pPr>
      <w:r>
        <w:rPr>
          <w:rFonts w:ascii="仿宋_GB2312" w:hAnsi="仿宋_GB2312" w:cs="仿宋_GB2312" w:eastAsia="仿宋_GB2312"/>
          <w:sz w:val="28"/>
          <w:b/>
        </w:rPr>
        <w:t>铜川市耀州区机关事务管理服务中心</w:t>
      </w:r>
    </w:p>
    <w:p>
      <w:pPr>
        <w:pStyle w:val="null3"/>
        <w:jc w:val="center"/>
        <w:outlineLvl w:val="2"/>
      </w:pPr>
      <w:r>
        <w:rPr>
          <w:rFonts w:ascii="仿宋_GB2312" w:hAnsi="仿宋_GB2312" w:cs="仿宋_GB2312" w:eastAsia="仿宋_GB2312"/>
          <w:sz w:val="28"/>
          <w:b/>
        </w:rPr>
        <w:t>陕西山河建设项目管理有限公司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陕西山河建设项目管理有限公司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铜川市耀州区机关事务管理服务中心</w:t>
      </w:r>
      <w:r>
        <w:rPr>
          <w:rFonts w:ascii="仿宋_GB2312" w:hAnsi="仿宋_GB2312" w:cs="仿宋_GB2312" w:eastAsia="仿宋_GB2312"/>
        </w:rPr>
        <w:t>委托，拟对</w:t>
      </w:r>
      <w:r>
        <w:rPr>
          <w:rFonts w:ascii="仿宋_GB2312" w:hAnsi="仿宋_GB2312" w:cs="仿宋_GB2312" w:eastAsia="仿宋_GB2312"/>
        </w:rPr>
        <w:t>铜川市耀州区锦阳新城综合楼机关灶委托经营项目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ZCSP-耀州区-2025-00019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铜川市耀州区锦阳新城综合楼机关灶委托经营项目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务院《机关事务管理条例》和《陕西省机关事务管理办法》的相关规定，区委、区政府要求加强机关事务管理，规范机关事务工作，保障机关正常运行，降低运行成本，积极推进机关后勤服务社会化改革，引进竞争机制，提高服务水平。 依据铜耀事务发〔2024〕28号文件中区委、区政府的要求，在外零散租赁办公的相关单位已集中租赁至锦阳新城综合楼进行办公，极大改善了机关干部办公环境，方便群众办事，入驻一年来运行顺畅，深受干群好评。但机关干部就餐问题一直未解决，干部反响比较大。经我中心统计，在锦阳新城及周围办公单位共35家，办公干部625人，附近又无就餐地方，吃饭要到老城区相对较远，也不方便。 为了彻底解决锦阳新城及周边办公单位干部就餐问题，回应干部急切需求，我中心经征求各方意见，拟在锦阳新城综合楼设立干部机关灶，运营模式和区委、区政府机关灶相同。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采购包1（铜川市耀州区锦阳新城综合楼机关灶委托经营项目）：属于专门面向小微企业采购。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的法人、其他组织或自然人。企业法人应提供合法有效的有统一社会信用代码的营业执照；事业法人应提供事业单位法人证书；其他组织应提供合法登记证明文件；自然人应提供其身份证明</w:t>
      </w:r>
    </w:p>
    <w:p>
      <w:pPr>
        <w:pStyle w:val="null3"/>
      </w:pPr>
      <w:r>
        <w:rPr>
          <w:rFonts w:ascii="仿宋_GB2312" w:hAnsi="仿宋_GB2312" w:cs="仿宋_GB2312" w:eastAsia="仿宋_GB2312"/>
        </w:rPr>
        <w:t>2、供应商应授权合法的人员参加招标全过程：供应商应授权合法的人员参加招标全过程，法定代表人直接参加招标须提交其身份证原件及法定代表人证明书，法定代表人授权代表参加招标须出具授权书及被授权人身份证</w:t>
      </w:r>
    </w:p>
    <w:p>
      <w:pPr>
        <w:pStyle w:val="null3"/>
      </w:pPr>
      <w:r>
        <w:rPr>
          <w:rFonts w:ascii="仿宋_GB2312" w:hAnsi="仿宋_GB2312" w:cs="仿宋_GB2312" w:eastAsia="仿宋_GB2312"/>
        </w:rPr>
        <w:t>3、供应商应具备良好的商业信誉：供应商应具备良好的商业信誉，提供参加政府采购活动前3年内在经营活动中没有重大违法记录的书面声明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财务状况报告：须提供近3年任意一年度具有财务审计资质的单位出具的财务报告（至少包括资产负债表和利润表，成立时间至提交投标文件截止时间不足一年的可提供成立后任意时段的资产负债表）或其开标前六个月内其基本存款账户开户银行出具的资信证明。其他组织和自然人提供银行出具的资信证明。</w:t>
      </w:r>
    </w:p>
    <w:p>
      <w:pPr>
        <w:pStyle w:val="null3"/>
      </w:pPr>
      <w:r>
        <w:rPr>
          <w:rFonts w:ascii="仿宋_GB2312" w:hAnsi="仿宋_GB2312" w:cs="仿宋_GB2312" w:eastAsia="仿宋_GB2312"/>
        </w:rPr>
        <w:t>5、社会保障资金缴纳证明：供应商提供近一年内已缴存的至少一个月的社会保障资金缴存单据或社保机构开具的社会保险参保缴费情况证明，依法不需要缴纳社会保障资金的供应商应提供相关文件证明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6、税收缴纳证明：供应商提供近一年内已缴纳的至少一个月的纳税证明或完税证明，纳税证明或完税证明上应有代收机构或税务机关的公章，依法免税的供应商应提供相关文件证明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7、履约能力：提供具有履行合同所必需的人员、设备和专业技术能力的说明及承诺。</w:t>
      </w:r>
    </w:p>
    <w:p>
      <w:pPr>
        <w:pStyle w:val="null3"/>
      </w:pPr>
      <w:r>
        <w:rPr>
          <w:rFonts w:ascii="仿宋_GB2312" w:hAnsi="仿宋_GB2312" w:cs="仿宋_GB2312" w:eastAsia="仿宋_GB2312"/>
        </w:rPr>
        <w:t>8、供应商信用：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 的供应商； 供应商为 企业的，不 得被列入“ 国家企 业信用信息 公示系统 (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铜川市耀州区机关事务管理服务中心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吴灵肖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18710733017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陕西山河建设项目管理有限公司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铜川市新区金谟西路崇文街52号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0919-3195800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代理服务费收费标准：招标代理服务费参照国家计委颁发的《招标代理服务管理暂行办法》（计价格【2002】1980号）、发改办计价格[2003]857号文件及发改价格【2011】534号文件规定的收费标准计算。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铜川市耀州区机关事务管理服务中心</w:t>
      </w:r>
      <w:r>
        <w:rPr>
          <w:rFonts w:ascii="仿宋_GB2312" w:hAnsi="仿宋_GB2312" w:cs="仿宋_GB2312" w:eastAsia="仿宋_GB2312"/>
        </w:rPr>
        <w:t>和</w:t>
      </w:r>
      <w:r>
        <w:rPr>
          <w:rFonts w:ascii="仿宋_GB2312" w:hAnsi="仿宋_GB2312" w:cs="仿宋_GB2312" w:eastAsia="仿宋_GB2312"/>
        </w:rPr>
        <w:t>陕西山河建设项目管理有限公司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铜川市耀州区机关事务管理服务中心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陕西山河建设项目管理有限公司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铜川市耀州区机关事务管理服务中心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陕西山河建设项目管理有限公司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按磋商文件、响应文件及澄清函等技术指标进行验收。各项指标均应符合验收标准及要求。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联系人：李沛</w:t>
      </w:r>
    </w:p>
    <w:p>
      <w:pPr>
        <w:pStyle w:val="null3"/>
      </w:pPr>
      <w:r>
        <w:rPr>
          <w:rFonts w:ascii="仿宋_GB2312" w:hAnsi="仿宋_GB2312" w:cs="仿宋_GB2312" w:eastAsia="仿宋_GB2312"/>
        </w:rPr>
        <w:t>联系电话：0919-3195800</w:t>
      </w:r>
    </w:p>
    <w:p>
      <w:pPr>
        <w:pStyle w:val="null3"/>
      </w:pPr>
      <w:r>
        <w:rPr>
          <w:rFonts w:ascii="仿宋_GB2312" w:hAnsi="仿宋_GB2312" w:cs="仿宋_GB2312" w:eastAsia="仿宋_GB2312"/>
        </w:rPr>
        <w:t>地址：铜川市新区金谟西路52号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务院《机关事务管理条例》和《陕西省机关事务管理办法》的相关规定，区委、区政府要求加强机关事务管理，规范机关事务工作，保障机关正常运行，降低运行成本，积极推进机关后勤服务社会化改革，引进竞争机制，提高服务水平。 依据铜耀事务发〔2024〕28号文件中区委、区政府的要求，在外零散租赁办公的相关单位已集中租赁至锦阳新城综合楼进行办公，极大改善了机关干部办公环境，方便群众办事，入驻一年来运行顺畅，深受干群好评。但机关干部就餐问题一直未解决，干部反响比较大。经我中心统计，在锦阳新城及周围办公单位共35家，办公干部625人，附近又无就餐地方，吃饭要到老城区相对较远，也不方便。 为了彻底解决锦阳新城及周边办公单位干部就餐问题，回应干部急切需求，我中心经征求各方意见，拟在锦阳新城综合楼设立干部机关灶，运营模式和区委、区政府机关灶相同。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1,460,000.00</w:t>
      </w:r>
    </w:p>
    <w:p>
      <w:pPr>
        <w:pStyle w:val="null3"/>
      </w:pPr>
      <w:r>
        <w:rPr>
          <w:rFonts w:ascii="仿宋_GB2312" w:hAnsi="仿宋_GB2312" w:cs="仿宋_GB2312" w:eastAsia="仿宋_GB2312"/>
        </w:rPr>
        <w:t>采购包最高限价（元）: 1,460,000.00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其他政府和社会资本合作服务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标的名称：其他政府和社会资本合作服务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耀州区锦阳新城综合楼机关灶委托经营服务外包服务标准</w:t>
            </w:r>
          </w:p>
        </w:tc>
        <w:tc>
          <w:tcPr>
            <w:tcW w:type="dxa" w:w="2076"/>
          </w:tcPr>
          <w:p>
            <w:pPr>
              <w:pStyle w:val="null3"/>
              <w:ind w:firstLine="650"/>
            </w:pPr>
            <w:r>
              <w:rPr>
                <w:rFonts w:ascii="仿宋_GB2312" w:hAnsi="仿宋_GB2312" w:cs="仿宋_GB2312" w:eastAsia="仿宋_GB2312"/>
                <w:sz w:val="18"/>
                <w:b/>
              </w:rPr>
              <w:t>（一）</w:t>
            </w:r>
            <w:r>
              <w:rPr>
                <w:rFonts w:ascii="仿宋_GB2312" w:hAnsi="仿宋_GB2312" w:cs="仿宋_GB2312" w:eastAsia="仿宋_GB2312"/>
                <w:sz w:val="18"/>
                <w:b/>
              </w:rPr>
              <w:t>公务接待标准</w:t>
            </w:r>
          </w:p>
          <w:p>
            <w:pPr>
              <w:pStyle w:val="null3"/>
              <w:ind w:firstLine="650"/>
            </w:pPr>
            <w:r>
              <w:rPr>
                <w:rFonts w:ascii="仿宋_GB2312" w:hAnsi="仿宋_GB2312" w:cs="仿宋_GB2312" w:eastAsia="仿宋_GB2312"/>
                <w:sz w:val="18"/>
              </w:rPr>
              <w:t>公务接待严格按照《耀州区公务接待办法》进行公务接待，公务接待以自助餐为主，标准按《耀州区公务接待办法》规定执行不得高于本地区商业酒店接待标准，菜品尽量体现耀州特色。</w:t>
            </w:r>
          </w:p>
          <w:p>
            <w:pPr>
              <w:pStyle w:val="null3"/>
              <w:ind w:firstLine="650"/>
            </w:pPr>
            <w:r>
              <w:rPr>
                <w:rFonts w:ascii="仿宋_GB2312" w:hAnsi="仿宋_GB2312" w:cs="仿宋_GB2312" w:eastAsia="仿宋_GB2312"/>
                <w:sz w:val="18"/>
                <w:b/>
              </w:rPr>
              <w:t>（二）</w:t>
            </w:r>
            <w:r>
              <w:rPr>
                <w:rFonts w:ascii="仿宋_GB2312" w:hAnsi="仿宋_GB2312" w:cs="仿宋_GB2312" w:eastAsia="仿宋_GB2312"/>
                <w:sz w:val="18"/>
                <w:b/>
              </w:rPr>
              <w:t>干部就餐标准</w:t>
            </w:r>
          </w:p>
          <w:p>
            <w:pPr>
              <w:pStyle w:val="null3"/>
            </w:pPr>
            <w:r>
              <w:rPr>
                <w:rFonts w:ascii="仿宋_GB2312" w:hAnsi="仿宋_GB2312" w:cs="仿宋_GB2312" w:eastAsia="仿宋_GB2312"/>
                <w:sz w:val="18"/>
              </w:rPr>
              <w:t>干部就餐实行自助餐刷卡</w:t>
            </w:r>
            <w:r>
              <w:rPr>
                <w:rFonts w:ascii="仿宋_GB2312" w:hAnsi="仿宋_GB2312" w:cs="仿宋_GB2312" w:eastAsia="仿宋_GB2312"/>
                <w:sz w:val="18"/>
              </w:rPr>
              <w:t>（人脸识别系统自动扣费）</w:t>
            </w:r>
            <w:r>
              <w:rPr>
                <w:rFonts w:ascii="仿宋_GB2312" w:hAnsi="仿宋_GB2312" w:cs="仿宋_GB2312" w:eastAsia="仿宋_GB2312"/>
                <w:sz w:val="18"/>
              </w:rPr>
              <w:t>形式，早餐</w:t>
            </w:r>
            <w:r>
              <w:rPr>
                <w:rFonts w:ascii="仿宋_GB2312" w:hAnsi="仿宋_GB2312" w:cs="仿宋_GB2312" w:eastAsia="仿宋_GB2312"/>
                <w:sz w:val="18"/>
              </w:rPr>
              <w:t>3元，午餐7元。菜品以每周所公布的食谱为准，如需更改变动应提前告知，不得降低菜品质量。就餐供应标准不得低于干部就餐标准。</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区机关事务管理服务中心的权利和义务</w:t>
            </w:r>
          </w:p>
        </w:tc>
        <w:tc>
          <w:tcPr>
            <w:tcW w:type="dxa" w:w="2076"/>
          </w:tcPr>
          <w:p>
            <w:pPr>
              <w:pStyle w:val="null3"/>
              <w:ind w:firstLine="650"/>
            </w:pPr>
            <w:r>
              <w:rPr>
                <w:rFonts w:ascii="仿宋_GB2312" w:hAnsi="仿宋_GB2312" w:cs="仿宋_GB2312" w:eastAsia="仿宋_GB2312"/>
                <w:sz w:val="18"/>
                <w:b/>
              </w:rPr>
              <w:t>（一）</w:t>
            </w:r>
            <w:r>
              <w:rPr>
                <w:rFonts w:ascii="仿宋_GB2312" w:hAnsi="仿宋_GB2312" w:cs="仿宋_GB2312" w:eastAsia="仿宋_GB2312"/>
                <w:sz w:val="18"/>
                <w:b/>
              </w:rPr>
              <w:t>区机关事务管理服务中心</w:t>
            </w:r>
            <w:r>
              <w:rPr>
                <w:rFonts w:ascii="仿宋_GB2312" w:hAnsi="仿宋_GB2312" w:cs="仿宋_GB2312" w:eastAsia="仿宋_GB2312"/>
                <w:sz w:val="18"/>
                <w:b/>
              </w:rPr>
              <w:t>权利</w:t>
            </w:r>
          </w:p>
          <w:p>
            <w:pPr>
              <w:pStyle w:val="null3"/>
              <w:ind w:firstLine="650"/>
            </w:pPr>
            <w:r>
              <w:rPr>
                <w:rFonts w:ascii="仿宋_GB2312" w:hAnsi="仿宋_GB2312" w:cs="仿宋_GB2312" w:eastAsia="仿宋_GB2312"/>
                <w:sz w:val="18"/>
              </w:rPr>
              <w:t>1、拟定耀州区锦阳新城综合楼机关灶运营政策、机关灶供应及干部就餐标准，监督管理机关灶日常运营。</w:t>
            </w:r>
          </w:p>
          <w:p>
            <w:pPr>
              <w:pStyle w:val="null3"/>
              <w:ind w:firstLine="650"/>
            </w:pPr>
            <w:r>
              <w:rPr>
                <w:rFonts w:ascii="仿宋_GB2312" w:hAnsi="仿宋_GB2312" w:cs="仿宋_GB2312" w:eastAsia="仿宋_GB2312"/>
                <w:sz w:val="18"/>
              </w:rPr>
              <w:t>2、</w:t>
            </w:r>
            <w:r>
              <w:rPr>
                <w:rFonts w:ascii="仿宋_GB2312" w:hAnsi="仿宋_GB2312" w:cs="仿宋_GB2312" w:eastAsia="仿宋_GB2312"/>
                <w:sz w:val="18"/>
              </w:rPr>
              <w:t>区机关事务管理服务中心</w:t>
            </w:r>
            <w:r>
              <w:rPr>
                <w:rFonts w:ascii="仿宋_GB2312" w:hAnsi="仿宋_GB2312" w:cs="仿宋_GB2312" w:eastAsia="仿宋_GB2312"/>
                <w:sz w:val="18"/>
              </w:rPr>
              <w:t>对耀州区锦阳新城综合楼机关灶运营中消防安全、天然气安全、食品安全、环境卫生、餐饮质量、节能（水电气）、就餐卡</w:t>
            </w:r>
            <w:r>
              <w:rPr>
                <w:rFonts w:ascii="仿宋_GB2312" w:hAnsi="仿宋_GB2312" w:cs="仿宋_GB2312" w:eastAsia="仿宋_GB2312"/>
                <w:sz w:val="18"/>
              </w:rPr>
              <w:t>（人脸识别系统）</w:t>
            </w:r>
            <w:r>
              <w:rPr>
                <w:rFonts w:ascii="仿宋_GB2312" w:hAnsi="仿宋_GB2312" w:cs="仿宋_GB2312" w:eastAsia="仿宋_GB2312"/>
                <w:sz w:val="18"/>
              </w:rPr>
              <w:t>充值等问题进行监管。对出现的问题，</w:t>
            </w:r>
            <w:r>
              <w:rPr>
                <w:rFonts w:ascii="仿宋_GB2312" w:hAnsi="仿宋_GB2312" w:cs="仿宋_GB2312" w:eastAsia="仿宋_GB2312"/>
                <w:sz w:val="18"/>
              </w:rPr>
              <w:t>区机关事务管理服务中心</w:t>
            </w:r>
            <w:r>
              <w:rPr>
                <w:rFonts w:ascii="仿宋_GB2312" w:hAnsi="仿宋_GB2312" w:cs="仿宋_GB2312" w:eastAsia="仿宋_GB2312"/>
                <w:sz w:val="18"/>
              </w:rPr>
              <w:t>协助相关行政执法部门按有关法律法规对耀州区锦阳新城综合楼机关灶进行处理。</w:t>
            </w:r>
          </w:p>
          <w:p>
            <w:pPr>
              <w:pStyle w:val="null3"/>
              <w:ind w:firstLine="650"/>
            </w:pPr>
            <w:r>
              <w:rPr>
                <w:rFonts w:ascii="仿宋_GB2312" w:hAnsi="仿宋_GB2312" w:cs="仿宋_GB2312" w:eastAsia="仿宋_GB2312"/>
                <w:sz w:val="18"/>
                <w:b/>
              </w:rPr>
              <w:t>（二）</w:t>
            </w:r>
            <w:r>
              <w:rPr>
                <w:rFonts w:ascii="仿宋_GB2312" w:hAnsi="仿宋_GB2312" w:cs="仿宋_GB2312" w:eastAsia="仿宋_GB2312"/>
                <w:sz w:val="18"/>
                <w:b/>
              </w:rPr>
              <w:t>区机关事务管理服务中心</w:t>
            </w:r>
            <w:r>
              <w:rPr>
                <w:rFonts w:ascii="仿宋_GB2312" w:hAnsi="仿宋_GB2312" w:cs="仿宋_GB2312" w:eastAsia="仿宋_GB2312"/>
                <w:sz w:val="18"/>
                <w:b/>
              </w:rPr>
              <w:t>义务</w:t>
            </w:r>
          </w:p>
          <w:p>
            <w:pPr>
              <w:pStyle w:val="null3"/>
              <w:ind w:firstLine="650"/>
            </w:pPr>
            <w:r>
              <w:rPr>
                <w:rFonts w:ascii="仿宋_GB2312" w:hAnsi="仿宋_GB2312" w:cs="仿宋_GB2312" w:eastAsia="仿宋_GB2312"/>
                <w:sz w:val="18"/>
              </w:rPr>
              <w:t>1、</w:t>
            </w:r>
            <w:r>
              <w:rPr>
                <w:rFonts w:ascii="仿宋_GB2312" w:hAnsi="仿宋_GB2312" w:cs="仿宋_GB2312" w:eastAsia="仿宋_GB2312"/>
                <w:sz w:val="18"/>
              </w:rPr>
              <w:t>协议有效期为</w:t>
            </w:r>
            <w:r>
              <w:rPr>
                <w:rFonts w:ascii="仿宋_GB2312" w:hAnsi="仿宋_GB2312" w:cs="仿宋_GB2312" w:eastAsia="仿宋_GB2312"/>
                <w:sz w:val="18"/>
              </w:rPr>
              <w:t>1</w:t>
            </w:r>
            <w:r>
              <w:rPr>
                <w:rFonts w:ascii="仿宋_GB2312" w:hAnsi="仿宋_GB2312" w:cs="仿宋_GB2312" w:eastAsia="仿宋_GB2312"/>
                <w:sz w:val="18"/>
              </w:rPr>
              <w:t>年，</w:t>
            </w:r>
            <w:r>
              <w:rPr>
                <w:rFonts w:ascii="仿宋_GB2312" w:hAnsi="仿宋_GB2312" w:cs="仿宋_GB2312" w:eastAsia="仿宋_GB2312"/>
                <w:sz w:val="18"/>
              </w:rPr>
              <w:t>预算</w:t>
            </w:r>
            <w:r>
              <w:rPr>
                <w:rFonts w:ascii="仿宋_GB2312" w:hAnsi="仿宋_GB2312" w:cs="仿宋_GB2312" w:eastAsia="仿宋_GB2312"/>
                <w:sz w:val="18"/>
              </w:rPr>
              <w:t>服务费用</w:t>
            </w:r>
            <w:r>
              <w:rPr>
                <w:rFonts w:ascii="仿宋_GB2312" w:hAnsi="仿宋_GB2312" w:cs="仿宋_GB2312" w:eastAsia="仿宋_GB2312"/>
                <w:sz w:val="18"/>
              </w:rPr>
              <w:t>146</w:t>
            </w:r>
            <w:r>
              <w:rPr>
                <w:rFonts w:ascii="仿宋_GB2312" w:hAnsi="仿宋_GB2312" w:cs="仿宋_GB2312" w:eastAsia="仿宋_GB2312"/>
                <w:sz w:val="18"/>
              </w:rPr>
              <w:t>万</w:t>
            </w:r>
            <w:r>
              <w:rPr>
                <w:rFonts w:ascii="仿宋_GB2312" w:hAnsi="仿宋_GB2312" w:cs="仿宋_GB2312" w:eastAsia="仿宋_GB2312"/>
                <w:sz w:val="18"/>
              </w:rPr>
              <w:t>元，由机关事务</w:t>
            </w:r>
            <w:r>
              <w:rPr>
                <w:rFonts w:ascii="仿宋_GB2312" w:hAnsi="仿宋_GB2312" w:cs="仿宋_GB2312" w:eastAsia="仿宋_GB2312"/>
                <w:sz w:val="18"/>
              </w:rPr>
              <w:t>管理服务中心</w:t>
            </w:r>
            <w:r>
              <w:rPr>
                <w:rFonts w:ascii="仿宋_GB2312" w:hAnsi="仿宋_GB2312" w:cs="仿宋_GB2312" w:eastAsia="仿宋_GB2312"/>
                <w:sz w:val="18"/>
              </w:rPr>
              <w:t>分</w:t>
            </w:r>
            <w:r>
              <w:rPr>
                <w:rFonts w:ascii="仿宋_GB2312" w:hAnsi="仿宋_GB2312" w:cs="仿宋_GB2312" w:eastAsia="仿宋_GB2312"/>
                <w:sz w:val="18"/>
              </w:rPr>
              <w:t>12</w:t>
            </w:r>
            <w:r>
              <w:rPr>
                <w:rFonts w:ascii="仿宋_GB2312" w:hAnsi="仿宋_GB2312" w:cs="仿宋_GB2312" w:eastAsia="仿宋_GB2312"/>
                <w:sz w:val="18"/>
              </w:rPr>
              <w:t>次支付，每</w:t>
            </w:r>
            <w:r>
              <w:rPr>
                <w:rFonts w:ascii="仿宋_GB2312" w:hAnsi="仿宋_GB2312" w:cs="仿宋_GB2312" w:eastAsia="仿宋_GB2312"/>
                <w:sz w:val="18"/>
              </w:rPr>
              <w:t>月</w:t>
            </w:r>
            <w:r>
              <w:rPr>
                <w:rFonts w:ascii="仿宋_GB2312" w:hAnsi="仿宋_GB2312" w:cs="仿宋_GB2312" w:eastAsia="仿宋_GB2312"/>
                <w:sz w:val="18"/>
              </w:rPr>
              <w:t>支付</w:t>
            </w:r>
            <w:r>
              <w:rPr>
                <w:rFonts w:ascii="仿宋_GB2312" w:hAnsi="仿宋_GB2312" w:cs="仿宋_GB2312" w:eastAsia="仿宋_GB2312"/>
                <w:sz w:val="18"/>
              </w:rPr>
              <w:t>1</w:t>
            </w:r>
            <w:r>
              <w:rPr>
                <w:rFonts w:ascii="仿宋_GB2312" w:hAnsi="仿宋_GB2312" w:cs="仿宋_GB2312" w:eastAsia="仿宋_GB2312"/>
                <w:sz w:val="18"/>
              </w:rPr>
              <w:t>次。</w:t>
            </w:r>
          </w:p>
          <w:p>
            <w:pPr>
              <w:pStyle w:val="null3"/>
              <w:ind w:firstLine="650"/>
            </w:pPr>
            <w:r>
              <w:rPr>
                <w:rFonts w:ascii="仿宋_GB2312" w:hAnsi="仿宋_GB2312" w:cs="仿宋_GB2312" w:eastAsia="仿宋_GB2312"/>
                <w:sz w:val="18"/>
              </w:rPr>
              <w:t>2、承担耀州区锦阳新城综合楼机关灶水、电费用。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耀州区锦阳新城综合楼机关灶的权利和义务</w:t>
            </w:r>
          </w:p>
        </w:tc>
        <w:tc>
          <w:tcPr>
            <w:tcW w:type="dxa" w:w="2076"/>
          </w:tcPr>
          <w:p>
            <w:pPr>
              <w:pStyle w:val="null3"/>
              <w:ind w:firstLine="650"/>
            </w:pPr>
            <w:r>
              <w:rPr>
                <w:rFonts w:ascii="仿宋_GB2312" w:hAnsi="仿宋_GB2312" w:cs="仿宋_GB2312" w:eastAsia="仿宋_GB2312"/>
                <w:sz w:val="18"/>
                <w:b/>
              </w:rPr>
              <w:t>（一）耀州区锦阳新城综合楼机关灶</w:t>
            </w:r>
            <w:r>
              <w:rPr>
                <w:rFonts w:ascii="仿宋_GB2312" w:hAnsi="仿宋_GB2312" w:cs="仿宋_GB2312" w:eastAsia="仿宋_GB2312"/>
                <w:sz w:val="18"/>
                <w:b/>
              </w:rPr>
              <w:t>权利</w:t>
            </w:r>
          </w:p>
          <w:p>
            <w:pPr>
              <w:pStyle w:val="null3"/>
              <w:ind w:firstLine="650"/>
            </w:pPr>
            <w:r>
              <w:rPr>
                <w:rFonts w:ascii="仿宋_GB2312" w:hAnsi="仿宋_GB2312" w:cs="仿宋_GB2312" w:eastAsia="仿宋_GB2312"/>
                <w:sz w:val="18"/>
              </w:rPr>
              <w:t>1、耀州区锦阳新城综合楼机关灶对机关灶进行企业化管理，自主经营，自负盈亏。</w:t>
            </w:r>
          </w:p>
          <w:p>
            <w:pPr>
              <w:pStyle w:val="null3"/>
              <w:ind w:firstLine="650"/>
            </w:pPr>
            <w:r>
              <w:rPr>
                <w:rFonts w:ascii="仿宋_GB2312" w:hAnsi="仿宋_GB2312" w:cs="仿宋_GB2312" w:eastAsia="仿宋_GB2312"/>
                <w:sz w:val="18"/>
              </w:rPr>
              <w:t>2、耀州区锦阳新城综合楼机关灶提供的菜品，应合理搭配、营养卫生。</w:t>
            </w:r>
          </w:p>
          <w:p>
            <w:pPr>
              <w:pStyle w:val="null3"/>
              <w:ind w:firstLine="650"/>
            </w:pPr>
            <w:r>
              <w:rPr>
                <w:rFonts w:ascii="仿宋_GB2312" w:hAnsi="仿宋_GB2312" w:cs="仿宋_GB2312" w:eastAsia="仿宋_GB2312"/>
                <w:sz w:val="18"/>
              </w:rPr>
              <w:t>3、耀州区锦阳新城综合楼机关灶</w:t>
            </w:r>
            <w:r>
              <w:rPr>
                <w:rFonts w:ascii="仿宋_GB2312" w:hAnsi="仿宋_GB2312" w:cs="仿宋_GB2312" w:eastAsia="仿宋_GB2312"/>
                <w:sz w:val="18"/>
              </w:rPr>
              <w:t>免费使用铜川市耀州区机关事务管理服务中心</w:t>
            </w:r>
            <w:r>
              <w:rPr>
                <w:rFonts w:ascii="仿宋_GB2312" w:hAnsi="仿宋_GB2312" w:cs="仿宋_GB2312" w:eastAsia="仿宋_GB2312"/>
                <w:sz w:val="18"/>
              </w:rPr>
              <w:t>资产设备，负责经营使用。</w:t>
            </w:r>
          </w:p>
          <w:p>
            <w:pPr>
              <w:pStyle w:val="null3"/>
              <w:ind w:firstLine="650"/>
            </w:pPr>
            <w:r>
              <w:rPr>
                <w:rFonts w:ascii="仿宋_GB2312" w:hAnsi="仿宋_GB2312" w:cs="仿宋_GB2312" w:eastAsia="仿宋_GB2312"/>
                <w:sz w:val="18"/>
              </w:rPr>
              <w:t>4、耀州区锦阳新城综合楼机关灶可要求甲方按协议及时支付</w:t>
            </w:r>
            <w:r>
              <w:rPr>
                <w:rFonts w:ascii="仿宋_GB2312" w:hAnsi="仿宋_GB2312" w:cs="仿宋_GB2312" w:eastAsia="仿宋_GB2312"/>
                <w:sz w:val="18"/>
              </w:rPr>
              <w:t>经营</w:t>
            </w:r>
            <w:r>
              <w:rPr>
                <w:rFonts w:ascii="仿宋_GB2312" w:hAnsi="仿宋_GB2312" w:cs="仿宋_GB2312" w:eastAsia="仿宋_GB2312"/>
                <w:sz w:val="18"/>
              </w:rPr>
              <w:t>管</w:t>
            </w:r>
            <w:r>
              <w:rPr>
                <w:rFonts w:ascii="仿宋_GB2312" w:hAnsi="仿宋_GB2312" w:cs="仿宋_GB2312" w:eastAsia="仿宋_GB2312"/>
                <w:sz w:val="18"/>
              </w:rPr>
              <w:t>理</w:t>
            </w:r>
            <w:r>
              <w:rPr>
                <w:rFonts w:ascii="仿宋_GB2312" w:hAnsi="仿宋_GB2312" w:cs="仿宋_GB2312" w:eastAsia="仿宋_GB2312"/>
                <w:sz w:val="18"/>
              </w:rPr>
              <w:t>费。</w:t>
            </w:r>
          </w:p>
          <w:p>
            <w:pPr>
              <w:pStyle w:val="null3"/>
              <w:ind w:firstLine="650"/>
            </w:pPr>
            <w:r>
              <w:rPr>
                <w:rFonts w:ascii="仿宋_GB2312" w:hAnsi="仿宋_GB2312" w:cs="仿宋_GB2312" w:eastAsia="仿宋_GB2312"/>
                <w:sz w:val="18"/>
              </w:rPr>
              <w:t>5、</w:t>
            </w:r>
            <w:r>
              <w:rPr>
                <w:rFonts w:ascii="仿宋_GB2312" w:hAnsi="仿宋_GB2312" w:cs="仿宋_GB2312" w:eastAsia="仿宋_GB2312"/>
                <w:sz w:val="18"/>
              </w:rPr>
              <w:t>服务公司</w:t>
            </w:r>
            <w:r>
              <w:rPr>
                <w:rFonts w:ascii="仿宋_GB2312" w:hAnsi="仿宋_GB2312" w:cs="仿宋_GB2312" w:eastAsia="仿宋_GB2312"/>
                <w:sz w:val="18"/>
              </w:rPr>
              <w:t>委派专业餐饮经理承担耀州区锦阳新城综合楼机关灶运营管理。</w:t>
            </w:r>
          </w:p>
          <w:p>
            <w:pPr>
              <w:pStyle w:val="null3"/>
              <w:ind w:firstLine="650"/>
            </w:pPr>
            <w:r>
              <w:rPr>
                <w:rFonts w:ascii="仿宋_GB2312" w:hAnsi="仿宋_GB2312" w:cs="仿宋_GB2312" w:eastAsia="仿宋_GB2312"/>
                <w:sz w:val="18"/>
              </w:rPr>
              <w:t>6、</w:t>
            </w:r>
            <w:r>
              <w:rPr>
                <w:rFonts w:ascii="仿宋_GB2312" w:hAnsi="仿宋_GB2312" w:cs="仿宋_GB2312" w:eastAsia="仿宋_GB2312"/>
                <w:sz w:val="18"/>
              </w:rPr>
              <w:t>严格按照</w:t>
            </w:r>
            <w:r>
              <w:rPr>
                <w:rFonts w:ascii="仿宋_GB2312" w:hAnsi="仿宋_GB2312" w:cs="仿宋_GB2312" w:eastAsia="仿宋_GB2312"/>
                <w:sz w:val="18"/>
              </w:rPr>
              <w:t>区机关事务管理服务中心</w:t>
            </w:r>
            <w:r>
              <w:rPr>
                <w:rFonts w:ascii="仿宋_GB2312" w:hAnsi="仿宋_GB2312" w:cs="仿宋_GB2312" w:eastAsia="仿宋_GB2312"/>
                <w:sz w:val="18"/>
              </w:rPr>
              <w:t>提供给耀州区锦阳新城综合楼机关灶的《资产移交清单》进行使用保管，不得丢失损坏，确保资产设备完整完好使用。</w:t>
            </w:r>
          </w:p>
          <w:p>
            <w:pPr>
              <w:pStyle w:val="null3"/>
              <w:ind w:firstLine="650"/>
            </w:pPr>
            <w:r>
              <w:rPr>
                <w:rFonts w:ascii="仿宋_GB2312" w:hAnsi="仿宋_GB2312" w:cs="仿宋_GB2312" w:eastAsia="仿宋_GB2312"/>
                <w:sz w:val="18"/>
                <w:b/>
              </w:rPr>
              <w:t>（二）耀州区锦阳新城综合楼机关灶</w:t>
            </w:r>
            <w:r>
              <w:rPr>
                <w:rFonts w:ascii="仿宋_GB2312" w:hAnsi="仿宋_GB2312" w:cs="仿宋_GB2312" w:eastAsia="仿宋_GB2312"/>
                <w:sz w:val="18"/>
                <w:b/>
              </w:rPr>
              <w:t>义务</w:t>
            </w:r>
          </w:p>
          <w:p>
            <w:pPr>
              <w:pStyle w:val="null3"/>
              <w:ind w:firstLine="650"/>
            </w:pPr>
            <w:r>
              <w:rPr>
                <w:rFonts w:ascii="仿宋_GB2312" w:hAnsi="仿宋_GB2312" w:cs="仿宋_GB2312" w:eastAsia="仿宋_GB2312"/>
                <w:sz w:val="18"/>
              </w:rPr>
              <w:t>1、耀州区锦阳新城综合楼机关灶向</w:t>
            </w:r>
            <w:r>
              <w:rPr>
                <w:rFonts w:ascii="仿宋_GB2312" w:hAnsi="仿宋_GB2312" w:cs="仿宋_GB2312" w:eastAsia="仿宋_GB2312"/>
                <w:sz w:val="18"/>
              </w:rPr>
              <w:t>区机关事务管理服务中心</w:t>
            </w:r>
            <w:r>
              <w:rPr>
                <w:rFonts w:ascii="仿宋_GB2312" w:hAnsi="仿宋_GB2312" w:cs="仿宋_GB2312" w:eastAsia="仿宋_GB2312"/>
                <w:sz w:val="18"/>
              </w:rPr>
              <w:t>提供所有餐饮资质证明，并严格执行食品安全相关法律法规，向干部职工提供优质的餐饮服务。</w:t>
            </w:r>
          </w:p>
          <w:p>
            <w:pPr>
              <w:pStyle w:val="null3"/>
              <w:ind w:firstLine="650"/>
            </w:pPr>
            <w:r>
              <w:rPr>
                <w:rFonts w:ascii="仿宋_GB2312" w:hAnsi="仿宋_GB2312" w:cs="仿宋_GB2312" w:eastAsia="仿宋_GB2312"/>
                <w:sz w:val="18"/>
              </w:rPr>
              <w:t>2、耀州区锦阳新城综合楼机关灶应服从</w:t>
            </w:r>
            <w:r>
              <w:rPr>
                <w:rFonts w:ascii="仿宋_GB2312" w:hAnsi="仿宋_GB2312" w:cs="仿宋_GB2312" w:eastAsia="仿宋_GB2312"/>
                <w:sz w:val="18"/>
              </w:rPr>
              <w:t>区机关事务管理服务中心</w:t>
            </w:r>
            <w:r>
              <w:rPr>
                <w:rFonts w:ascii="仿宋_GB2312" w:hAnsi="仿宋_GB2312" w:cs="仿宋_GB2312" w:eastAsia="仿宋_GB2312"/>
                <w:sz w:val="18"/>
              </w:rPr>
              <w:t>的管理，接受</w:t>
            </w:r>
            <w:r>
              <w:rPr>
                <w:rFonts w:ascii="仿宋_GB2312" w:hAnsi="仿宋_GB2312" w:cs="仿宋_GB2312" w:eastAsia="仿宋_GB2312"/>
                <w:sz w:val="18"/>
              </w:rPr>
              <w:t>区机关事务管理服务中心</w:t>
            </w:r>
            <w:r>
              <w:rPr>
                <w:rFonts w:ascii="仿宋_GB2312" w:hAnsi="仿宋_GB2312" w:cs="仿宋_GB2312" w:eastAsia="仿宋_GB2312"/>
                <w:sz w:val="18"/>
              </w:rPr>
              <w:t>的监督和指导。</w:t>
            </w:r>
          </w:p>
          <w:p>
            <w:pPr>
              <w:pStyle w:val="null3"/>
              <w:ind w:firstLine="650"/>
            </w:pPr>
            <w:r>
              <w:rPr>
                <w:rFonts w:ascii="仿宋_GB2312" w:hAnsi="仿宋_GB2312" w:cs="仿宋_GB2312" w:eastAsia="仿宋_GB2312"/>
                <w:sz w:val="18"/>
              </w:rPr>
              <w:t>3、耀州区锦阳新城综合楼机关灶办卡</w:t>
            </w:r>
            <w:r>
              <w:rPr>
                <w:rFonts w:ascii="仿宋_GB2312" w:hAnsi="仿宋_GB2312" w:cs="仿宋_GB2312" w:eastAsia="仿宋_GB2312"/>
                <w:sz w:val="18"/>
              </w:rPr>
              <w:t>（人脸识别系统）</w:t>
            </w:r>
            <w:r>
              <w:rPr>
                <w:rFonts w:ascii="仿宋_GB2312" w:hAnsi="仿宋_GB2312" w:cs="仿宋_GB2312" w:eastAsia="仿宋_GB2312"/>
                <w:sz w:val="18"/>
              </w:rPr>
              <w:t>必须经</w:t>
            </w:r>
            <w:r>
              <w:rPr>
                <w:rFonts w:ascii="仿宋_GB2312" w:hAnsi="仿宋_GB2312" w:cs="仿宋_GB2312" w:eastAsia="仿宋_GB2312"/>
                <w:sz w:val="18"/>
              </w:rPr>
              <w:t>区机关事务管理服务中心</w:t>
            </w:r>
            <w:r>
              <w:rPr>
                <w:rFonts w:ascii="仿宋_GB2312" w:hAnsi="仿宋_GB2312" w:cs="仿宋_GB2312" w:eastAsia="仿宋_GB2312"/>
                <w:sz w:val="18"/>
              </w:rPr>
              <w:t>同意确认后方可办理。持卡人员因工作调动或离退休，需办理退卡业务，耀州区锦阳新城综合楼机关灶及时退还剩余款项。</w:t>
            </w:r>
          </w:p>
          <w:p>
            <w:pPr>
              <w:pStyle w:val="null3"/>
              <w:ind w:firstLine="650"/>
            </w:pPr>
            <w:r>
              <w:rPr>
                <w:rFonts w:ascii="仿宋_GB2312" w:hAnsi="仿宋_GB2312" w:cs="仿宋_GB2312" w:eastAsia="仿宋_GB2312"/>
                <w:sz w:val="18"/>
              </w:rPr>
              <w:t>4、耀州区锦阳新城综合楼机关灶在运营期间不得接待与公务活动无关的运营活动。</w:t>
            </w:r>
          </w:p>
          <w:p>
            <w:pPr>
              <w:pStyle w:val="null3"/>
              <w:ind w:firstLine="650"/>
            </w:pPr>
            <w:r>
              <w:rPr>
                <w:rFonts w:ascii="仿宋_GB2312" w:hAnsi="仿宋_GB2312" w:cs="仿宋_GB2312" w:eastAsia="仿宋_GB2312"/>
                <w:sz w:val="18"/>
              </w:rPr>
              <w:t>5、耀州区锦阳新城综合楼机关灶在运营期间发生消防安全、食品安全、环境卫生、餐饮质量、就餐卡充值等问题及其他一切不安全事故均由耀州区锦阳新城综合楼机关灶承担。</w:t>
            </w:r>
          </w:p>
          <w:p>
            <w:pPr>
              <w:pStyle w:val="null3"/>
              <w:ind w:firstLine="650"/>
            </w:pPr>
            <w:r>
              <w:rPr>
                <w:rFonts w:ascii="仿宋_GB2312" w:hAnsi="仿宋_GB2312" w:cs="仿宋_GB2312" w:eastAsia="仿宋_GB2312"/>
                <w:sz w:val="18"/>
              </w:rPr>
              <w:t>6、耀州区锦阳新城综合楼机关灶在运营期间以耀州区锦阳新城综合楼机关灶发生的债务由</w:t>
            </w:r>
            <w:r>
              <w:rPr>
                <w:rFonts w:ascii="仿宋_GB2312" w:hAnsi="仿宋_GB2312" w:cs="仿宋_GB2312" w:eastAsia="仿宋_GB2312"/>
                <w:sz w:val="18"/>
              </w:rPr>
              <w:t>受托运营公司</w:t>
            </w:r>
            <w:r>
              <w:rPr>
                <w:rFonts w:ascii="仿宋_GB2312" w:hAnsi="仿宋_GB2312" w:cs="仿宋_GB2312" w:eastAsia="仿宋_GB2312"/>
                <w:sz w:val="18"/>
              </w:rPr>
              <w:t>承担。</w:t>
            </w:r>
          </w:p>
          <w:p>
            <w:pPr>
              <w:pStyle w:val="null3"/>
              <w:ind w:firstLine="650"/>
            </w:pPr>
            <w:r>
              <w:rPr>
                <w:rFonts w:ascii="仿宋_GB2312" w:hAnsi="仿宋_GB2312" w:cs="仿宋_GB2312" w:eastAsia="仿宋_GB2312"/>
                <w:sz w:val="18"/>
              </w:rPr>
              <w:t>7、耀州区锦阳新城综合楼机关灶应按有关法律法规为耀州区锦阳新城综合楼机关灶的所有工作人员体检并办理健康证，耀州区锦阳新城综合楼机关灶应与所有工作人员签订劳动合同，办理养老、工伤、医保等社会保险。并承担所有人员一切意外事故及人员安全。</w:t>
            </w:r>
          </w:p>
          <w:p>
            <w:pPr>
              <w:pStyle w:val="null3"/>
              <w:ind w:firstLine="650"/>
            </w:pPr>
            <w:r>
              <w:rPr>
                <w:rFonts w:ascii="仿宋_GB2312" w:hAnsi="仿宋_GB2312" w:cs="仿宋_GB2312" w:eastAsia="仿宋_GB2312"/>
                <w:sz w:val="18"/>
              </w:rPr>
              <w:t>8、耀州区锦阳新城综合楼机关灶依照食品卫生法的相关规定，必须在有资质的采购点定点采购放心食材。一定要索证索票，签订供货合同。严禁使用过期变质食品，出现事故责任自负。</w:t>
            </w:r>
          </w:p>
          <w:p>
            <w:pPr>
              <w:pStyle w:val="null3"/>
              <w:ind w:firstLine="650"/>
            </w:pPr>
            <w:r>
              <w:rPr>
                <w:rFonts w:ascii="仿宋_GB2312" w:hAnsi="仿宋_GB2312" w:cs="仿宋_GB2312" w:eastAsia="仿宋_GB2312"/>
                <w:sz w:val="18"/>
              </w:rPr>
              <w:t>9.耀州区锦阳新城综合楼机关灶要对耀州区锦阳新城综合楼</w:t>
            </w:r>
            <w:r>
              <w:rPr>
                <w:rFonts w:ascii="仿宋_GB2312" w:hAnsi="仿宋_GB2312" w:cs="仿宋_GB2312" w:eastAsia="仿宋_GB2312"/>
                <w:sz w:val="18"/>
              </w:rPr>
              <w:t>机关灶</w:t>
            </w:r>
            <w:r>
              <w:rPr>
                <w:rFonts w:ascii="仿宋_GB2312" w:hAnsi="仿宋_GB2312" w:cs="仿宋_GB2312" w:eastAsia="仿宋_GB2312"/>
                <w:sz w:val="18"/>
              </w:rPr>
              <w:t>的用水、电、天然气的安全及各类机械要有专人巡回检查，及时消除安全隐患，一旦发生不安全事故，一切后果自负。</w:t>
            </w:r>
          </w:p>
          <w:p>
            <w:pPr>
              <w:pStyle w:val="null3"/>
              <w:ind w:firstLine="640"/>
            </w:pPr>
            <w:r>
              <w:rPr>
                <w:rFonts w:ascii="仿宋_GB2312" w:hAnsi="仿宋_GB2312" w:cs="仿宋_GB2312" w:eastAsia="仿宋_GB2312"/>
                <w:sz w:val="18"/>
              </w:rPr>
              <w:t>10.对于经营中发现损坏的设施要及时维护和更新，不得影响耀州区锦阳新城综合楼机关灶正常运营，更不能出现安全隐患。</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违约责任</w:t>
            </w:r>
          </w:p>
        </w:tc>
        <w:tc>
          <w:tcPr>
            <w:tcW w:type="dxa" w:w="2076"/>
          </w:tcPr>
          <w:p>
            <w:pPr>
              <w:pStyle w:val="null3"/>
              <w:ind w:firstLine="650"/>
            </w:pPr>
            <w:r>
              <w:rPr>
                <w:rFonts w:ascii="仿宋_GB2312" w:hAnsi="仿宋_GB2312" w:cs="仿宋_GB2312" w:eastAsia="仿宋_GB2312"/>
                <w:sz w:val="18"/>
              </w:rPr>
              <w:t>1、</w:t>
            </w:r>
            <w:r>
              <w:rPr>
                <w:rFonts w:ascii="仿宋_GB2312" w:hAnsi="仿宋_GB2312" w:cs="仿宋_GB2312" w:eastAsia="仿宋_GB2312"/>
                <w:sz w:val="18"/>
              </w:rPr>
              <w:t>区机关事务管理服务中心</w:t>
            </w:r>
            <w:r>
              <w:rPr>
                <w:rFonts w:ascii="仿宋_GB2312" w:hAnsi="仿宋_GB2312" w:cs="仿宋_GB2312" w:eastAsia="仿宋_GB2312"/>
                <w:sz w:val="18"/>
              </w:rPr>
              <w:t>违反本劳务协议给耀州区锦阳新城综合楼机关灶造成损失，应给予适当赔偿。</w:t>
            </w:r>
          </w:p>
          <w:p>
            <w:pPr>
              <w:pStyle w:val="null3"/>
              <w:ind w:firstLine="650"/>
            </w:pPr>
            <w:r>
              <w:rPr>
                <w:rFonts w:ascii="仿宋_GB2312" w:hAnsi="仿宋_GB2312" w:cs="仿宋_GB2312" w:eastAsia="仿宋_GB2312"/>
                <w:sz w:val="18"/>
              </w:rPr>
              <w:t>2、耀州区锦阳新城综合楼机关灶在协议期间内损坏</w:t>
            </w:r>
            <w:r>
              <w:rPr>
                <w:rFonts w:ascii="仿宋_GB2312" w:hAnsi="仿宋_GB2312" w:cs="仿宋_GB2312" w:eastAsia="仿宋_GB2312"/>
                <w:sz w:val="18"/>
              </w:rPr>
              <w:t>机关灶</w:t>
            </w:r>
            <w:r>
              <w:rPr>
                <w:rFonts w:ascii="仿宋_GB2312" w:hAnsi="仿宋_GB2312" w:cs="仿宋_GB2312" w:eastAsia="仿宋_GB2312"/>
                <w:sz w:val="18"/>
              </w:rPr>
              <w:t>资产，应按</w:t>
            </w:r>
            <w:r>
              <w:rPr>
                <w:rFonts w:ascii="仿宋_GB2312" w:hAnsi="仿宋_GB2312" w:cs="仿宋_GB2312" w:eastAsia="仿宋_GB2312"/>
                <w:sz w:val="18"/>
              </w:rPr>
              <w:t>原价赔偿</w:t>
            </w:r>
            <w:r>
              <w:rPr>
                <w:rFonts w:ascii="仿宋_GB2312" w:hAnsi="仿宋_GB2312" w:cs="仿宋_GB2312" w:eastAsia="仿宋_GB2312"/>
                <w:sz w:val="18"/>
              </w:rPr>
              <w:t>。违反相关法律及造成安全事故，除承担经济赔偿外，应承担相应的法律责任。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满足采购人采购需求，详见技术参数与性能指标；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满足采购人采购需求，详见技术参数与性能指标；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满足采购人采购需求，详见技术参数与性能指标；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铜川市耀州区锦阳新城机关灶</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按磋商文件、响应文件及澄清函等技术指标进行验收。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按月结算：按月付款，付款金额以合同为准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的法人、其他组织或自然人。企业法人应提供合法有效的有统一社会信用代码的营业执照；事业法人应提供事业单位法人证书；其他组织应提供合法登记证明文件；自然人应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供应商应授权合法的人员参加招标全过程，法定代表人直接参加招标须提交其身份证原件及法定代表人证明书，法定代表人授权代表参加招标须出具授权书及被授权人身份证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供应商应具备良好的商业信誉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近3年任意一年度具有财务审计资质的单位出具的财务报告（至少包括资产负债表和利润表，成立时间至提交投标文件截止时间不足一年的可提供成立后任意时段的资产负债表）或其开标前六个月内其基本存款账户开户银行出具的资信证明。其他组织和自然人提供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提供具有履行合同所必需的人员、设备和专业技术能力的说明及承诺。</w:t>
            </w:r>
          </w:p>
        </w:tc>
        <w:tc>
          <w:tcPr>
            <w:tcW w:type="dxa" w:w="1661"/>
          </w:tcPr>
          <w:p>
            <w:pPr>
              <w:pStyle w:val="null3"/>
            </w:pPr>
            <w:r>
              <w:rPr>
                <w:rFonts w:ascii="仿宋_GB2312" w:hAnsi="仿宋_GB2312" w:cs="仿宋_GB2312" w:eastAsia="仿宋_GB2312"/>
              </w:rPr>
              <w:t>类似业绩情况.docx 其他资料.docx 响应函.docx 供应商资格证明文件.docx 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 的供应商； 供应商为 企业的，不 得被列入“ 国家企 业信用信息 公示系统 (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tc>
        <w:tc>
          <w:tcPr>
            <w:tcW w:type="dxa" w:w="1661"/>
          </w:tcPr>
          <w:p>
            <w:pPr>
              <w:pStyle w:val="null3"/>
            </w:pPr>
            <w:r>
              <w:rPr>
                <w:rFonts w:ascii="仿宋_GB2312" w:hAnsi="仿宋_GB2312" w:cs="仿宋_GB2312" w:eastAsia="仿宋_GB2312"/>
              </w:rPr>
              <w:t>供应商资格证明文件.docx 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投标报价表.docx 标的清单 响应函.docx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提供针对本项目的餐饮保障运营方案，包括但不限于食材采购和验收、食品加工、食堂供餐、公务接待及日常服务、节能节水节气、食品质量及食品卫生等。方案科学合理详细， 针对性强， 工作程序标准严格、制度严 禁规范， 应急措施完善， 能充分满足餐厅用餐需求， 充分保证餐厅菜品质量，评标委员会依情况横向比较后赋 0-25 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提供针对本项目的管理制度， 包括但不限于食堂留样管理制度、卫生培训制度、厨房管理制度、加工场 所及器具消毒管理、卫生检查制度等， 制度健全，科学合理，评标委员会依情况横向比较后赋 0-20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1.供应商依据采购需求，针对本项目拟提供的服务团队包含组织结构、人员构成等，评标委员会根据响应程度计 0-10 分；2.厨师长有中级及以上中式烹饪师证的得5分，中级以下不得分。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响应服务方案说明.docx</w:t>
            </w:r>
          </w:p>
        </w:tc>
      </w:tr>
      <w:tr>
        <w:tc>
          <w:tcPr>
            <w:tcW w:type="dxa" w:w="831"/>
            <w:vMerge/>
          </w:tcPr>
          <w:p/>
        </w:tc>
        <w:tc>
          <w:tcPr>
            <w:tcW w:type="dxa" w:w="1661"/>
          </w:tcPr>
          <w:p>
            <w:pPr>
              <w:pStyle w:val="null3"/>
            </w:pPr>
            <w:r>
              <w:rPr>
                <w:rFonts w:ascii="仿宋_GB2312" w:hAnsi="仿宋_GB2312" w:cs="仿宋_GB2312" w:eastAsia="仿宋_GB2312"/>
              </w:rPr>
              <w:t>饮食搭配</w:t>
            </w:r>
          </w:p>
        </w:tc>
        <w:tc>
          <w:tcPr>
            <w:tcW w:type="dxa" w:w="2492"/>
          </w:tcPr>
          <w:p>
            <w:pPr>
              <w:pStyle w:val="null3"/>
            </w:pPr>
            <w:r>
              <w:rPr>
                <w:rFonts w:ascii="仿宋_GB2312" w:hAnsi="仿宋_GB2312" w:cs="仿宋_GB2312" w:eastAsia="仿宋_GB2312"/>
              </w:rPr>
              <w:t>饮食搭配的合理性、营养均衡性、食品花色的多样性，食谱的可行性，根据响应程度计 0-6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响应服务方案说明.docx</w:t>
            </w:r>
          </w:p>
        </w:tc>
      </w:tr>
      <w:tr>
        <w:tc>
          <w:tcPr>
            <w:tcW w:type="dxa" w:w="831"/>
            <w:vMerge/>
          </w:tcPr>
          <w:p/>
        </w:tc>
        <w:tc>
          <w:tcPr>
            <w:tcW w:type="dxa" w:w="1661"/>
          </w:tcPr>
          <w:p>
            <w:pPr>
              <w:pStyle w:val="null3"/>
            </w:pPr>
            <w:r>
              <w:rPr>
                <w:rFonts w:ascii="仿宋_GB2312" w:hAnsi="仿宋_GB2312" w:cs="仿宋_GB2312" w:eastAsia="仿宋_GB2312"/>
              </w:rPr>
              <w:t>突发事件及违约责任</w:t>
            </w:r>
          </w:p>
        </w:tc>
        <w:tc>
          <w:tcPr>
            <w:tcW w:type="dxa" w:w="2492"/>
          </w:tcPr>
          <w:p>
            <w:pPr>
              <w:pStyle w:val="null3"/>
            </w:pPr>
            <w:r>
              <w:rPr>
                <w:rFonts w:ascii="仿宋_GB2312" w:hAnsi="仿宋_GB2312" w:cs="仿宋_GB2312" w:eastAsia="仿宋_GB2312"/>
              </w:rPr>
              <w:t>供应商对于突发事件的处理预案措施及违约责任的承担与赔偿， 提出详细合理的说明，根据响应程度计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供应商提出的有利于本项目实施及采购人的合理化建议， 根据响应程度计 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供应商针对本项目提供具体可行的服务承诺， 包含菜品质 量、服务质量、环境卫生等方面；根据其响应程度计 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 年 1 月 1 日起）类似业绩， 以合同为准， 每提供 1 份业绩得 3分，最多9分（不提供不得分）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满足磋商文件要求且最终投标报价最低的供应商的价格为投标基准价，其价格分为满分。 其他供应商的价格分统一按照下列公式计算： 投标报价得分=(评标基准价／投标评审价)×10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服务技术参数偏离表.docx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投标报价表.docx</w:t>
            </w:r>
          </w:p>
          <w:p>
            <w:pPr>
              <w:pStyle w:val="null3"/>
            </w:pPr>
            <w:r>
              <w:rPr>
                <w:rFonts w:ascii="仿宋_GB2312" w:hAnsi="仿宋_GB2312" w:cs="仿宋_GB2312" w:eastAsia="仿宋_GB2312"/>
              </w:rPr>
              <w:t>响应函.docx</w:t>
            </w:r>
          </w:p>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详见附件：响应函.docx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详见附件：服务技术参数偏离表.docx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详见附件：响应服务方案说明.docx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详见附件：合同范本（锦阳新城综合楼机关灶）.docx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