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版本号：ZXCG2025-01120250415001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耀州区2025年小麦“一喷三防”项目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ZXCG2025-011</w:t>
      </w:r>
      <w:r>
        <w:br/>
      </w:r>
      <w:r>
        <w:br/>
      </w:r>
      <w:r>
        <w:br/>
      </w:r>
    </w:p>
    <w:p>
      <w:pPr>
        <w:pStyle w:val="null3"/>
        <w:jc w:val="center"/>
        <w:outlineLvl w:val="2"/>
      </w:pPr>
      <w:r>
        <w:rPr>
          <w:rFonts w:ascii="仿宋_GB2312" w:hAnsi="仿宋_GB2312" w:cs="仿宋_GB2312" w:eastAsia="仿宋_GB2312"/>
          <w:sz w:val="28"/>
          <w:b/>
        </w:rPr>
        <w:t>铜川市耀州区农业技术推广中心</w:t>
      </w:r>
    </w:p>
    <w:p>
      <w:pPr>
        <w:pStyle w:val="null3"/>
        <w:jc w:val="center"/>
        <w:outlineLvl w:val="2"/>
      </w:pPr>
      <w:r>
        <w:rPr>
          <w:rFonts w:ascii="仿宋_GB2312" w:hAnsi="仿宋_GB2312" w:cs="仿宋_GB2312" w:eastAsia="仿宋_GB2312"/>
          <w:sz w:val="28"/>
          <w:b/>
        </w:rPr>
        <w:t>陕西中贤项目管理有限公司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陕西中贤项目管理有限公司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铜川市耀州区农业技术推广中心</w:t>
      </w:r>
      <w:r>
        <w:rPr>
          <w:rFonts w:ascii="仿宋_GB2312" w:hAnsi="仿宋_GB2312" w:cs="仿宋_GB2312" w:eastAsia="仿宋_GB2312"/>
        </w:rPr>
        <w:t>委托，拟对</w:t>
      </w:r>
      <w:r>
        <w:rPr>
          <w:rFonts w:ascii="仿宋_GB2312" w:hAnsi="仿宋_GB2312" w:cs="仿宋_GB2312" w:eastAsia="仿宋_GB2312"/>
        </w:rPr>
        <w:t>耀州区2025年小麦“一喷三防”项目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ZXCG2025-011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耀州区2025年小麦“一喷三防”项目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铜川市耀州区2025年小麦“一喷三防”服务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采购包1（耀州区2025年小麦“一喷三防”项目）：属于专门面向小微企业采购。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 提供法人或者其他组织的营业执照等证明文件，自然人参与的提供其身份证明</w:t>
      </w:r>
    </w:p>
    <w:p>
      <w:pPr>
        <w:pStyle w:val="null3"/>
      </w:pPr>
      <w:r>
        <w:rPr>
          <w:rFonts w:ascii="仿宋_GB2312" w:hAnsi="仿宋_GB2312" w:cs="仿宋_GB2312" w:eastAsia="仿宋_GB2312"/>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5、信用中国：供应商不得为“信用中国”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6、法定代表人身份证明或法定代表人授权委托书：法定代表人授权书（附法定代表人及被授权人 身份证复印件）及被授权人身份证（如法定代表人直接投标须提交法定代表人身份证及法人身份证明）</w:t>
      </w:r>
    </w:p>
    <w:p>
      <w:pPr>
        <w:pStyle w:val="null3"/>
      </w:pPr>
      <w:r>
        <w:rPr>
          <w:rFonts w:ascii="仿宋_GB2312" w:hAnsi="仿宋_GB2312" w:cs="仿宋_GB2312" w:eastAsia="仿宋_GB2312"/>
        </w:rPr>
        <w:t>7、履约能力：提供具备履行合同所必需的设备和专业技术能力的说明及承诺（提供书面承诺函）</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9、药品证书：供应商提供农药经营许可证、农药“三证”（分别是《农药登记证》、《农药生产许可证或农药生产批准文件》、《农药标准证》）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耀州区步寿路北段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0919-6589818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陕西中贤项目管理有限公司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陕西省西安市碑林区长安北路8号陕西高速大厦12层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曹渊宁、李敏佳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029-89352919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取。招标代理服务费交纳信息：银行户名：陕西中贤项目管理有限公司 开户银行：中国银行股份有限公司陕西省分行 账 号：102 068 446 330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铜川市耀州区农业技术推广中心</w:t>
      </w:r>
      <w:r>
        <w:rPr>
          <w:rFonts w:ascii="仿宋_GB2312" w:hAnsi="仿宋_GB2312" w:cs="仿宋_GB2312" w:eastAsia="仿宋_GB2312"/>
        </w:rPr>
        <w:t>和</w:t>
      </w:r>
      <w:r>
        <w:rPr>
          <w:rFonts w:ascii="仿宋_GB2312" w:hAnsi="仿宋_GB2312" w:cs="仿宋_GB2312" w:eastAsia="仿宋_GB2312"/>
        </w:rPr>
        <w:t>陕西中贤项目管理有限公司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陕西中贤项目管理有限公司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陕西中贤项目管理有限公司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联系人：曹渊宁、李敏佳</w:t>
      </w:r>
    </w:p>
    <w:p>
      <w:pPr>
        <w:pStyle w:val="null3"/>
      </w:pPr>
      <w:r>
        <w:rPr>
          <w:rFonts w:ascii="仿宋_GB2312" w:hAnsi="仿宋_GB2312" w:cs="仿宋_GB2312" w:eastAsia="仿宋_GB2312"/>
        </w:rPr>
        <w:t>联系电话：029-89352919</w:t>
      </w:r>
    </w:p>
    <w:p>
      <w:pPr>
        <w:pStyle w:val="null3"/>
      </w:pPr>
      <w:r>
        <w:rPr>
          <w:rFonts w:ascii="仿宋_GB2312" w:hAnsi="仿宋_GB2312" w:cs="仿宋_GB2312" w:eastAsia="仿宋_GB2312"/>
        </w:rPr>
        <w:t>地址：陕西省西安市碑林区长安北路8号陕西高速大厦12层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铜川市耀州区2025年小麦“一喷三防”服务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一、服务内容</w:t>
            </w:r>
          </w:p>
          <w:p>
            <w:pPr>
              <w:pStyle w:val="null3"/>
              <w:ind w:firstLine="480"/>
              <w:jc w:val="both"/>
            </w:pPr>
            <w:r>
              <w:rPr>
                <w:rFonts w:ascii="仿宋_GB2312" w:hAnsi="仿宋_GB2312" w:cs="仿宋_GB2312" w:eastAsia="仿宋_GB2312"/>
              </w:rPr>
              <w:t>无人机飞防服务实施面积</w:t>
            </w:r>
            <w:r>
              <w:rPr>
                <w:rFonts w:ascii="仿宋_GB2312" w:hAnsi="仿宋_GB2312" w:cs="仿宋_GB2312" w:eastAsia="仿宋_GB2312"/>
              </w:rPr>
              <w:t>3</w:t>
            </w:r>
            <w:r>
              <w:rPr>
                <w:rFonts w:ascii="仿宋_GB2312" w:hAnsi="仿宋_GB2312" w:cs="仿宋_GB2312" w:eastAsia="仿宋_GB2312"/>
              </w:rPr>
              <w:t>万亩，小麦“一喷三防”服务+药剂+微肥，</w:t>
            </w:r>
            <w:r>
              <w:rPr>
                <w:rFonts w:ascii="仿宋_GB2312" w:hAnsi="仿宋_GB2312" w:cs="仿宋_GB2312" w:eastAsia="仿宋_GB2312"/>
              </w:rPr>
              <w:t>补助标准每亩最高不超过20元</w:t>
            </w:r>
            <w:r>
              <w:rPr>
                <w:rFonts w:ascii="仿宋_GB2312" w:hAnsi="仿宋_GB2312" w:cs="仿宋_GB2312" w:eastAsia="仿宋_GB2312"/>
              </w:rPr>
              <w:t>。</w:t>
            </w:r>
          </w:p>
          <w:p>
            <w:pPr>
              <w:pStyle w:val="null3"/>
              <w:jc w:val="both"/>
            </w:pPr>
            <w:r>
              <w:rPr>
                <w:rFonts w:ascii="仿宋_GB2312" w:hAnsi="仿宋_GB2312" w:cs="仿宋_GB2312" w:eastAsia="仿宋_GB2312"/>
              </w:rPr>
              <w:t>二、</w:t>
            </w:r>
            <w:r>
              <w:rPr>
                <w:rFonts w:ascii="仿宋_GB2312" w:hAnsi="仿宋_GB2312" w:cs="仿宋_GB2312" w:eastAsia="仿宋_GB2312"/>
              </w:rPr>
              <w:t>技术要求</w:t>
            </w:r>
          </w:p>
          <w:p>
            <w:pPr>
              <w:pStyle w:val="null3"/>
              <w:ind w:firstLine="480"/>
              <w:jc w:val="left"/>
            </w:pPr>
            <w:r>
              <w:rPr>
                <w:rFonts w:ascii="仿宋_GB2312" w:hAnsi="仿宋_GB2312" w:cs="仿宋_GB2312" w:eastAsia="仿宋_GB2312"/>
              </w:rPr>
              <w:t>1.小麦“一喷三防”药剂选用</w:t>
            </w:r>
          </w:p>
          <w:p>
            <w:pPr>
              <w:pStyle w:val="null3"/>
              <w:ind w:firstLine="480"/>
              <w:jc w:val="left"/>
            </w:pPr>
            <w:r>
              <w:rPr>
                <w:rFonts w:ascii="仿宋_GB2312" w:hAnsi="仿宋_GB2312" w:cs="仿宋_GB2312" w:eastAsia="仿宋_GB2312"/>
              </w:rPr>
              <w:t>以白粉病、穗蚜为重点，兼顾叶锈病、病毒病等推荐药剂：</w:t>
            </w:r>
          </w:p>
          <w:p>
            <w:pPr>
              <w:pStyle w:val="null3"/>
              <w:ind w:firstLine="480"/>
              <w:jc w:val="left"/>
            </w:pPr>
            <w:r>
              <w:rPr>
                <w:rFonts w:ascii="仿宋_GB2312" w:hAnsi="仿宋_GB2312" w:cs="仿宋_GB2312" w:eastAsia="仿宋_GB2312"/>
              </w:rPr>
              <w:t>小麦白粉病、叶锈病，可选用环丙唑醇、腈菌唑、丙环唑、氟环唑、肟菌·戊唑醇等；</w:t>
            </w:r>
          </w:p>
          <w:p>
            <w:pPr>
              <w:pStyle w:val="null3"/>
              <w:ind w:firstLine="480"/>
              <w:jc w:val="left"/>
            </w:pPr>
            <w:r>
              <w:rPr>
                <w:rFonts w:ascii="仿宋_GB2312" w:hAnsi="仿宋_GB2312" w:cs="仿宋_GB2312" w:eastAsia="仿宋_GB2312"/>
              </w:rPr>
              <w:t>穗蚜可选用噻虫嗪、吡虫啉、吡蚜酮、抗蚜威、高效氯氟氰菊酯、苦参碱、阿维菌素等。</w:t>
            </w:r>
          </w:p>
          <w:p>
            <w:pPr>
              <w:pStyle w:val="null3"/>
              <w:ind w:firstLine="480"/>
              <w:jc w:val="left"/>
            </w:pPr>
            <w:r>
              <w:rPr>
                <w:rFonts w:ascii="仿宋_GB2312" w:hAnsi="仿宋_GB2312" w:cs="仿宋_GB2312" w:eastAsia="仿宋_GB2312"/>
              </w:rPr>
              <w:t>叶面肥：选用适用于无人机使用的磷酸二氢钾或有机水溶性肥料。</w:t>
            </w:r>
          </w:p>
          <w:p>
            <w:pPr>
              <w:pStyle w:val="null3"/>
              <w:ind w:firstLine="480"/>
            </w:pPr>
            <w:r>
              <w:rPr>
                <w:rFonts w:ascii="仿宋_GB2312" w:hAnsi="仿宋_GB2312" w:cs="仿宋_GB2312" w:eastAsia="仿宋_GB2312"/>
              </w:rPr>
              <w:t>2.器械可选用大型自走式喷杆喷雾机，植保无人机等。</w:t>
            </w:r>
          </w:p>
          <w:p>
            <w:pPr>
              <w:pStyle w:val="null3"/>
              <w:ind w:firstLine="480"/>
              <w:jc w:val="both"/>
            </w:pPr>
            <w:r>
              <w:rPr>
                <w:rFonts w:ascii="仿宋_GB2312" w:hAnsi="仿宋_GB2312" w:cs="仿宋_GB2312" w:eastAsia="仿宋_GB2312"/>
              </w:rPr>
              <w:t>3.小麦“一喷三防”综合防治效果达到85%以上</w:t>
            </w:r>
            <w:r>
              <w:rPr>
                <w:rFonts w:ascii="仿宋_GB2312" w:hAnsi="仿宋_GB2312" w:cs="仿宋_GB2312" w:eastAsia="仿宋_GB2312"/>
              </w:rPr>
              <w:t>；</w:t>
            </w:r>
            <w:r>
              <w:rPr>
                <w:rFonts w:ascii="仿宋_GB2312" w:hAnsi="仿宋_GB2312" w:cs="仿宋_GB2312" w:eastAsia="仿宋_GB2312"/>
              </w:rPr>
              <w:t>植保无人机施药，每亩用水量不低于1.5升，并添加沉降剂。无漏喷、重喷现象。</w:t>
            </w:r>
            <w:r>
              <w:br/>
            </w:r>
            <w:r>
              <w:rPr>
                <w:rFonts w:ascii="仿宋_GB2312" w:hAnsi="仿宋_GB2312" w:cs="仿宋_GB2312" w:eastAsia="仿宋_GB2312"/>
              </w:rPr>
              <w:t>三、其他要求</w:t>
            </w:r>
          </w:p>
          <w:p>
            <w:pPr>
              <w:pStyle w:val="null3"/>
              <w:ind w:firstLine="480"/>
              <w:jc w:val="both"/>
            </w:pPr>
            <w:r>
              <w:rPr>
                <w:rFonts w:ascii="仿宋_GB2312" w:hAnsi="仿宋_GB2312" w:cs="仿宋_GB2312" w:eastAsia="仿宋_GB2312"/>
              </w:rPr>
              <w:t>1、服务期限：以双方实际签订合同为准。</w:t>
            </w:r>
          </w:p>
          <w:p>
            <w:pPr>
              <w:pStyle w:val="null3"/>
              <w:ind w:firstLine="480"/>
              <w:jc w:val="both"/>
            </w:pPr>
            <w:r>
              <w:rPr>
                <w:rFonts w:ascii="仿宋_GB2312" w:hAnsi="仿宋_GB2312" w:cs="仿宋_GB2312" w:eastAsia="仿宋_GB2312"/>
              </w:rPr>
              <w:t>2、服务地点：采购人指定地点。</w:t>
            </w:r>
          </w:p>
          <w:p>
            <w:pPr>
              <w:pStyle w:val="null3"/>
              <w:ind w:firstLine="480"/>
              <w:jc w:val="both"/>
            </w:pPr>
            <w:r>
              <w:rPr>
                <w:rFonts w:ascii="仿宋_GB2312" w:hAnsi="仿宋_GB2312" w:cs="仿宋_GB2312" w:eastAsia="仿宋_GB2312"/>
              </w:rPr>
              <w:t>3、服务标准：按国家、地方、行业标准及采购文件相关要求执行。</w:t>
            </w:r>
          </w:p>
          <w:p>
            <w:pPr>
              <w:pStyle w:val="null3"/>
              <w:ind w:firstLine="480"/>
              <w:jc w:val="both"/>
            </w:pPr>
            <w:r>
              <w:rPr>
                <w:rFonts w:ascii="仿宋_GB2312" w:hAnsi="仿宋_GB2312" w:cs="仿宋_GB2312" w:eastAsia="仿宋_GB2312"/>
              </w:rPr>
              <w:t>4、使用药剂：供应商针对本项目要求所提供使用药剂均满足国家、地方及行业合格标准；</w:t>
            </w:r>
            <w:r>
              <w:rPr>
                <w:rFonts w:ascii="仿宋_GB2312" w:hAnsi="仿宋_GB2312" w:cs="仿宋_GB2312" w:eastAsia="仿宋_GB2312"/>
              </w:rPr>
              <w:t>在小麦重大病虫害防治购药时一定要到三证齐全的正规门店选购，拒绝使用所谓改进型、复方类农药，严禁使用高毒有机磷农药和高残留农药及其复配品。</w:t>
            </w:r>
          </w:p>
          <w:p>
            <w:pPr>
              <w:pStyle w:val="null3"/>
              <w:ind w:firstLine="480"/>
              <w:jc w:val="both"/>
            </w:pPr>
            <w:r>
              <w:rPr>
                <w:rFonts w:ascii="仿宋_GB2312" w:hAnsi="仿宋_GB2312" w:cs="仿宋_GB2312" w:eastAsia="仿宋_GB2312"/>
              </w:rPr>
              <w:t>5</w:t>
            </w:r>
            <w:r>
              <w:rPr>
                <w:rFonts w:ascii="仿宋_GB2312" w:hAnsi="仿宋_GB2312" w:cs="仿宋_GB2312" w:eastAsia="仿宋_GB2312"/>
              </w:rPr>
              <w:t>、采用二次稀释法，混合一次喷施，喷均喷匀，不漏喷、重喷。</w:t>
            </w:r>
          </w:p>
          <w:p>
            <w:pPr>
              <w:pStyle w:val="null3"/>
              <w:ind w:firstLine="480"/>
              <w:jc w:val="both"/>
            </w:pPr>
            <w:r>
              <w:rPr>
                <w:rFonts w:ascii="仿宋_GB2312" w:hAnsi="仿宋_GB2312" w:cs="仿宋_GB2312" w:eastAsia="仿宋_GB2312"/>
              </w:rPr>
              <w:t>6</w:t>
            </w:r>
            <w:r>
              <w:rPr>
                <w:rFonts w:ascii="仿宋_GB2312" w:hAnsi="仿宋_GB2312" w:cs="仿宋_GB2312" w:eastAsia="仿宋_GB2312"/>
              </w:rPr>
              <w:t>、用药量要准确。根据亩用药量及用水量配制药液。配制采用标准计量器，切勿随意加药。</w:t>
            </w:r>
          </w:p>
          <w:p>
            <w:pPr>
              <w:pStyle w:val="null3"/>
              <w:ind w:firstLine="480"/>
              <w:jc w:val="both"/>
            </w:pPr>
            <w:r>
              <w:rPr>
                <w:rFonts w:ascii="仿宋_GB2312" w:hAnsi="仿宋_GB2312" w:cs="仿宋_GB2312" w:eastAsia="仿宋_GB2312"/>
              </w:rPr>
              <w:t>7</w:t>
            </w:r>
            <w:r>
              <w:rPr>
                <w:rFonts w:ascii="仿宋_GB2312" w:hAnsi="仿宋_GB2312" w:cs="仿宋_GB2312" w:eastAsia="仿宋_GB2312"/>
              </w:rPr>
              <w:t>、田间喷药要选在早晨或下午无露水情况下进行，喷药后6小时内遇雨应补喷。</w:t>
            </w:r>
          </w:p>
          <w:p>
            <w:pPr>
              <w:pStyle w:val="null3"/>
              <w:ind w:firstLine="480"/>
              <w:jc w:val="both"/>
            </w:pPr>
            <w:r>
              <w:rPr>
                <w:rFonts w:ascii="仿宋_GB2312" w:hAnsi="仿宋_GB2312" w:cs="仿宋_GB2312" w:eastAsia="仿宋_GB2312"/>
              </w:rPr>
              <w:t>8、严格遵守农药使用安全流程，做好人员自身防护工作。药物废弃物做好回收，不得乱扔，避免人畜中毒等不安全事故发生。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以双方实际签订合同为准。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1.项目完成后，由成交供应商向采购人提出验收申请。 2.项目由采购人进行验收，验收时成交供应商应无条件予以配合并提供验 收所需的全部资料，若成交供应商不配合或者未按合同要求提供服务的，采购人将拒绝验收。 3.验收依据：（1）合同文本及合同补充文件（条款）、（2）国家及省市、行业有关的验收标准及规范、（3）磋商文件、磋商响应文件及澄清函、（4）其他执行标准等。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1、付款方式：无预付款，该项目验收完成后，按照财政资金拨付情况及时支付。 2、支付方式：银行转账。 3、结算方式：乙方在接受付款前开具等额发票给甲方.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1、如成交供应商作业效果不佳应组织免费重新作业； 2、如成交供应商作业不力或遗误，产生的经济损失由成交供应商承担。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成交供应商须在采购结果公告发布后将纸质版磋商响应文件正本 1 份、副本 1份递交至采购代理机构处（陕西省西安市碑林区长安北路8号陕西高速大厦12层），成交供应商应保持磋商响应文件纸质版内容与项目电子化交易系统所响应内容完全一致，否则将承担一切法律责任。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 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 身份证复印件）及被授权人身份证（如法定代表人直接投标须提交法定代表人身份证及法人身份证明）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提供具备履行合同所必需的设备和专业技术能力的说明及承诺（提供书面承诺函）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药品证书</w:t>
            </w:r>
          </w:p>
        </w:tc>
        <w:tc>
          <w:tcPr>
            <w:tcW w:type="dxa" w:w="3322"/>
          </w:tcPr>
          <w:p>
            <w:pPr>
              <w:pStyle w:val="null3"/>
            </w:pPr>
            <w:r>
              <w:rPr>
                <w:rFonts w:ascii="仿宋_GB2312" w:hAnsi="仿宋_GB2312" w:cs="仿宋_GB2312" w:eastAsia="仿宋_GB2312"/>
              </w:rPr>
              <w:t>供应商提供农药经营许可证、农药“三证”（分别是《农药登记证》、《农药生产许可证或农药生产批准文件》、《农药标准证》）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2.磋商响应文件内容是否有重大缺漏项。</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1.磋商响应文件的签署、加盖印章是否合格、有效； 2.提供的各种证明文件、数据、资料是否真实、有效。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磋商文件的响应性审查</w:t>
            </w:r>
          </w:p>
        </w:tc>
        <w:tc>
          <w:tcPr>
            <w:tcW w:type="dxa" w:w="3322"/>
          </w:tcPr>
          <w:p>
            <w:pPr>
              <w:pStyle w:val="null3"/>
            </w:pPr>
            <w:r>
              <w:rPr>
                <w:rFonts w:ascii="仿宋_GB2312" w:hAnsi="仿宋_GB2312" w:cs="仿宋_GB2312" w:eastAsia="仿宋_GB2312"/>
              </w:rPr>
              <w:t>1.磋商报价是否超过采购预算； 2.磋商报价是否低于成本价，涉嫌不正当竞争（如果评审小组认为某投标报价明显不合理或者低于成本，有可能影响产品质量或者不能诚信履约的，应当要求其在规定期限内提供书面文件予以解释说明，并提交相关证明材料）； 3.磋商有效期是否符合磋商文件的要求。</w:t>
            </w:r>
          </w:p>
        </w:tc>
        <w:tc>
          <w:tcPr>
            <w:tcW w:type="dxa" w:w="1661"/>
          </w:tcPr>
          <w:p>
            <w:pPr>
              <w:pStyle w:val="null3"/>
            </w:pPr>
            <w:r>
              <w:rPr>
                <w:rFonts w:ascii="仿宋_GB2312" w:hAnsi="仿宋_GB2312" w:cs="仿宋_GB2312" w:eastAsia="仿宋_GB2312"/>
              </w:rPr>
              <w:t>响应文件封面 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供应商针对本项目的总体服务方案，包括但不限于①服务计划；②作业进度；③作业质量保障；④防治作业专业技术力量；⑤建立组织机构。 二、赋分标准(满分30分)：要求整体服务方案内容完善、全面合理、架构完整、层次清楚、具有针对性和可实施性，缺1项扣6分。每项中每有一处不合理(不合理是指:方案不符合实施技术要求相关内容、内容有错误、描述有歧义、逻辑有漏洞、表述不清)的扣1分，扣完为止。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一、评审内容： 供应商针对本项目提供详细的人员配备方案包括但不限于①人员数量、分工、从业经验等；②岗位配备及职责；③人员培训（岗前培训、安全培训、定期培训）。 二、赋分标准（满分9分)：要求方案内容完善、全面合理、架构完整、层次清楚、具有针对性和可实施性，缺一项扣3分。每项中每有一处不合理(不合理是指 :人员配备及岗位设置不符合项目要求、内容错误、描述有歧义、逻辑有漏洞、表述不清、培训安排不合理)的扣0.5分，扣完为止。未提供不得分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供应商具备植保无人机系统操作手合格人员5人（以植保无人机系统操作手合格证或植保无人机驾驶证为准），得2分，每增加一人加1分，最高加3分。未提供不得分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机械配备</w:t>
            </w:r>
          </w:p>
        </w:tc>
        <w:tc>
          <w:tcPr>
            <w:tcW w:type="dxa" w:w="2492"/>
          </w:tcPr>
          <w:p>
            <w:pPr>
              <w:pStyle w:val="null3"/>
            </w:pPr>
            <w:r>
              <w:rPr>
                <w:rFonts w:ascii="仿宋_GB2312" w:hAnsi="仿宋_GB2312" w:cs="仿宋_GB2312" w:eastAsia="仿宋_GB2312"/>
              </w:rPr>
              <w:t>供应商提供5架植保无人机（供应商提供相关购买或租赁证明材料），得2分，每增加一架植保无人机加1分，最高加3分。未提供不得分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一、评审内容:供应商针对本项目制定切实可行且有效的安全保障措施，包括作业过程中①人员安全、②环境安全、③设备安全等。 二、赋分标准(满分9分)。缺一项扣3分。不缺项但制定的人员安全、环境安全、设备安全等措施不合理或有瑕疵，每一项扣0.5分，扣完为止。未提供不得分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一、评审内容：供应商针对本项目采购需求，制定相应的应急保障措施，内容包含①应急人员安排;②应急响应时间;③安全处理措施等。 二、赋分标准（满分9分）：要求内容完善、全面合理、架构完整、层次清楚、具有针对性和可实施性。每缺一项扣3分，不缺项但在应急人员安排、应急响应时间、安全处理措施等方面每有一处瑕疵或不符合项目要求扣0.5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一、评审内容：供应商针对本项目制定售后服务方案，方案内容包含①售后服务人员安排；②售后服务承诺；③响应时效。 二、赋分标准（满分9分）：要求方案制定合理、内容完整、思路清晰。每满足一项得3分，满分9分，各项内容每有一处瑕疵扣0.5分，扣完为止。未提供不得分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能提供所投产品的合法来源渠道证明文件（包括但不限于产品制造商授权、销售协议、代理协议、原厂授权等），每提供一个产品的得2分，满分6分，不提供的不得分。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供应商提供“一喷三防”具体实施建议，根据响应情况计0-2分。建议内容全面、详细，符合本项目实施的得2分，建议内容每有一处瑕疵扣0.5分，扣完为止。未提供不得分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供应商提供2022年4月1日至今已完成的类似项目业绩(以合同签订日期为准)，每提供一个业绩计2分，满分6分。未提供不得分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满足磋商响应文件要求且最终报价最低的供应商的价格为评审基准价，其价格分为满分。其他供应商的价格分统一按照下列公式计算： 磋商报价得分=（评审基准价/最终磋商报价）×权值×100%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