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版本号：YCD-2025001F20250416001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铜川市耀州区2024年农户科学储粮项目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YCD-2025001F</w:t>
      </w:r>
      <w:r>
        <w:br/>
      </w:r>
      <w:r>
        <w:br/>
      </w:r>
      <w:r>
        <w:br/>
      </w:r>
    </w:p>
    <w:p>
      <w:pPr>
        <w:pStyle w:val="null3"/>
        <w:jc w:val="center"/>
        <w:outlineLvl w:val="2"/>
      </w:pPr>
      <w:r>
        <w:rPr>
          <w:rFonts w:ascii="仿宋_GB2312" w:hAnsi="仿宋_GB2312" w:cs="仿宋_GB2312" w:eastAsia="仿宋_GB2312"/>
          <w:sz w:val="28"/>
          <w:b/>
        </w:rPr>
        <w:t>铜川市耀州区发展和改革局</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铜川市耀州区发展和改革局</w:t>
      </w:r>
      <w:r>
        <w:rPr>
          <w:rFonts w:ascii="仿宋_GB2312" w:hAnsi="仿宋_GB2312" w:cs="仿宋_GB2312" w:eastAsia="仿宋_GB2312"/>
        </w:rPr>
        <w:t>委托，拟对</w:t>
      </w:r>
      <w:r>
        <w:rPr>
          <w:rFonts w:ascii="仿宋_GB2312" w:hAnsi="仿宋_GB2312" w:cs="仿宋_GB2312" w:eastAsia="仿宋_GB2312"/>
        </w:rPr>
        <w:t>铜川市耀州区2024年农户科学储粮项目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YCD-2025001F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铜川市耀州区2024年农户科学储粮项目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夯实粮食安全根基，构建高层次、高质量、高效率、可持续的粮食和物资储备安全保障体系，现在我区实施小型储粮仓和钢网玉米仓科学储粮设施项目，切实保障粮食安全，推进绿色储粮，推广节粮减损提质增效新技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采购包1（铜川市耀州区2024年农户科学储粮项目-小麦仓）：属于专门面向中小企业采购。</w:t>
      </w:r>
    </w:p>
    <w:p>
      <w:pPr>
        <w:pStyle w:val="null3"/>
      </w:pPr>
      <w:r>
        <w:rPr>
          <w:rFonts w:ascii="仿宋_GB2312" w:hAnsi="仿宋_GB2312" w:cs="仿宋_GB2312" w:eastAsia="仿宋_GB2312"/>
        </w:rPr>
        <w:t>采购包2（铜川市耀州区2024年农户科学储粮项目-玉米仓）：属于专门面向中小企业采购。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1、资质要求：具备独立承担民事责任能力的法人、其他组织或自然人，提供营业执照/事业单位法人证书/非企业专业服务机构执业许可证/自然人身份证；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财务状况报告：①提交2023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3、税收缴纳证明：提交2024年4月1日至今任意一个月的纳税证明或完税证明，纳税证明或完税证明上应有代收机构或税务机关的公章或业务专用章。（依法免税的供应商应提供相应文件证明）；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缴纳证明：提交2024年4月1日至今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6、控股关系证明：单位负责人为同一人或者存在直接控股、管理关系的不同供应商，不得参加同一合同项下的政府采购活动；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1、资质要求：具备独立承担民事责任能力的法人、其他组织或自然人，提供营业执照/事业单位法人证书/非企业专业服务机构执业许可证/自然人身份证；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财务状况报告：①提交2023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3、税收缴纳证明：提交2024年4月1日至今任意一个月的纳税证明或完税证明，纳税证明或完税证明上应有代收机构或税务机关的公章或业务专用章。（依法免税的供应商应提供相应文件证明）；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缴纳证明：提交2024年4月1日至今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6、控股关系证明：单位负责人为同一人或者存在直接控股、管理关系的不同供应商，不得参加同一合同项下的政府采购活动；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18700681133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陕西省西安市碑林区友谊东路6号新兴翰园B座2-163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18091933523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p>
          <w:p>
            <w:pPr>
              <w:pStyle w:val="null3"/>
            </w:pPr>
            <w:r>
              <w:rPr>
                <w:rFonts w:ascii="仿宋_GB2312" w:hAnsi="仿宋_GB2312" w:cs="仿宋_GB2312" w:eastAsia="仿宋_GB2312"/>
              </w:rPr>
              <w:t>采购包2：3,000,000.00元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代理服务费收费标准：双方约定：（大写）人民币柒万元整，（小写）￥70000.00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铜川市耀州区发展和改革局</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铜川市耀州区发展和改革局</w:t>
      </w:r>
      <w:r>
        <w:rPr>
          <w:rFonts w:ascii="仿宋_GB2312" w:hAnsi="仿宋_GB2312" w:cs="仿宋_GB2312" w:eastAsia="仿宋_GB2312"/>
        </w:rPr>
        <w:t>负责解释。除上述招标文件内容，其他内容由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 4、供应商应向采购人提交项目实施过程中的所有资料，以便采购人日后管理和维护。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联系人：杨花</w:t>
      </w:r>
    </w:p>
    <w:p>
      <w:pPr>
        <w:pStyle w:val="null3"/>
      </w:pPr>
      <w:r>
        <w:rPr>
          <w:rFonts w:ascii="仿宋_GB2312" w:hAnsi="仿宋_GB2312" w:cs="仿宋_GB2312" w:eastAsia="仿宋_GB2312"/>
        </w:rPr>
        <w:t>联系电话：18091933523</w:t>
      </w:r>
    </w:p>
    <w:p>
      <w:pPr>
        <w:pStyle w:val="null3"/>
      </w:pPr>
      <w:r>
        <w:rPr>
          <w:rFonts w:ascii="仿宋_GB2312" w:hAnsi="仿宋_GB2312" w:cs="仿宋_GB2312" w:eastAsia="仿宋_GB2312"/>
        </w:rPr>
        <w:t>地址：陕西省西安市碑林区友谊东路6号新兴翰园B座2-163</w:t>
      </w:r>
    </w:p>
    <w:p>
      <w:pPr>
        <w:pStyle w:val="null3"/>
      </w:pPr>
      <w:r>
        <w:rPr>
          <w:rFonts w:ascii="仿宋_GB2312" w:hAnsi="仿宋_GB2312" w:cs="仿宋_GB2312" w:eastAsia="仿宋_GB2312"/>
        </w:rPr>
        <w:t>邮编：710072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夯实粮食安全根基，构建高层次、高质量、高效率、可持续的粮食和物资储备安全保障体系，现在我区实施小型储粮仓和钢网玉米仓科学储粮设施项目，切实保障粮食安全，推进绿色储粮，推广节粮减损提质增效新技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小麦仓</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玉米仓</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标的名称：小麦仓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小麦粮仓（彩钢板组合仓）</w:t>
            </w:r>
          </w:p>
        </w:tc>
        <w:tc>
          <w:tcPr>
            <w:tcW w:type="dxa" w:w="2076"/>
          </w:tcPr>
          <w:p>
            <w:pPr>
              <w:pStyle w:val="null3"/>
              <w:spacing w:before="105" w:after="105"/>
              <w:ind w:firstLine="561"/>
              <w:jc w:val="both"/>
            </w:pPr>
            <w:r>
              <w:rPr>
                <w:rFonts w:ascii="仿宋_GB2312" w:hAnsi="仿宋_GB2312" w:cs="仿宋_GB2312" w:eastAsia="仿宋_GB2312"/>
                <w:sz w:val="28"/>
              </w:rPr>
              <w:t>①仓型为JSBZ型，容积≥1.5立方米，仓容≥1050kg。</w:t>
            </w:r>
          </w:p>
          <w:p>
            <w:pPr>
              <w:pStyle w:val="null3"/>
              <w:spacing w:before="105" w:after="105"/>
              <w:ind w:firstLine="561"/>
              <w:jc w:val="both"/>
            </w:pPr>
            <w:r>
              <w:rPr>
                <w:rFonts w:ascii="仿宋_GB2312" w:hAnsi="仿宋_GB2312" w:cs="仿宋_GB2312" w:eastAsia="仿宋_GB2312"/>
                <w:sz w:val="28"/>
              </w:rPr>
              <w:t>②仓体：由上中下三个圆桶套叠组合，仓体侧壁以单平咬口方式连接；仓体顶层直径≥1130mm，高度≥470mm，仓体中层直径≥1140mm，高度≥470mm，仓体底层直径≥1150mm，高度≥570mm。</w:t>
            </w:r>
            <w:r>
              <w:rPr>
                <w:rFonts w:ascii="仿宋_GB2312" w:hAnsi="仿宋_GB2312" w:cs="仿宋_GB2312" w:eastAsia="仿宋_GB2312"/>
                <w:sz w:val="28"/>
              </w:rPr>
              <w:t>仓盖：一次性冲压（拉伸）成塔形整体，仓盖扣接高度</w:t>
            </w:r>
            <w:r>
              <w:rPr>
                <w:rFonts w:ascii="仿宋_GB2312" w:hAnsi="仿宋_GB2312" w:cs="仿宋_GB2312" w:eastAsia="仿宋_GB2312"/>
                <w:sz w:val="28"/>
              </w:rPr>
              <w:t>≥2</w:t>
            </w:r>
            <w:r>
              <w:rPr>
                <w:rFonts w:ascii="仿宋_GB2312" w:hAnsi="仿宋_GB2312" w:cs="仿宋_GB2312" w:eastAsia="仿宋_GB2312"/>
                <w:sz w:val="28"/>
              </w:rPr>
              <w:t>5mm</w:t>
            </w:r>
            <w:r>
              <w:rPr>
                <w:rFonts w:ascii="仿宋_GB2312" w:hAnsi="仿宋_GB2312" w:cs="仿宋_GB2312" w:eastAsia="仿宋_GB2312"/>
                <w:sz w:val="28"/>
              </w:rPr>
              <w:t>，仓盖锥形表面轧制八道放射形加强筋。</w:t>
            </w:r>
          </w:p>
          <w:p>
            <w:pPr>
              <w:pStyle w:val="null3"/>
              <w:spacing w:before="105" w:after="105"/>
              <w:ind w:firstLine="561"/>
              <w:jc w:val="both"/>
            </w:pPr>
            <w:r>
              <w:rPr>
                <w:rFonts w:ascii="仿宋_GB2312" w:hAnsi="仿宋_GB2312" w:cs="仿宋_GB2312" w:eastAsia="仿宋_GB2312"/>
                <w:sz w:val="28"/>
              </w:rPr>
              <w:t>③</w:t>
            </w:r>
            <w:r>
              <w:rPr>
                <w:rFonts w:ascii="仿宋_GB2312" w:hAnsi="仿宋_GB2312" w:cs="仿宋_GB2312" w:eastAsia="仿宋_GB2312"/>
                <w:sz w:val="28"/>
              </w:rPr>
              <w:t>出粮口中线与仓底高度≥450mm，大小尺寸≥80mm×80mm。</w:t>
            </w:r>
          </w:p>
          <w:p>
            <w:pPr>
              <w:pStyle w:val="null3"/>
              <w:spacing w:before="105" w:after="105"/>
              <w:ind w:firstLine="561"/>
              <w:jc w:val="both"/>
            </w:pPr>
            <w:r>
              <w:rPr>
                <w:rFonts w:ascii="仿宋_GB2312" w:hAnsi="仿宋_GB2312" w:cs="仿宋_GB2312" w:eastAsia="仿宋_GB2312"/>
                <w:sz w:val="28"/>
              </w:rPr>
              <w:t>④</w:t>
            </w:r>
            <w:r>
              <w:rPr>
                <w:rFonts w:ascii="仿宋_GB2312" w:hAnsi="仿宋_GB2312" w:cs="仿宋_GB2312" w:eastAsia="仿宋_GB2312"/>
                <w:sz w:val="28"/>
              </w:rPr>
              <w:t>防潮垫：材料为聚苯乙烯泡沫板，直径≥1100mm，厚度≥20mm。</w:t>
            </w:r>
          </w:p>
          <w:p>
            <w:pPr>
              <w:pStyle w:val="null3"/>
              <w:spacing w:before="105" w:after="105"/>
              <w:ind w:firstLine="561"/>
              <w:jc w:val="both"/>
            </w:pPr>
            <w:r>
              <w:rPr>
                <w:rFonts w:ascii="仿宋_GB2312" w:hAnsi="仿宋_GB2312" w:cs="仿宋_GB2312" w:eastAsia="仿宋_GB2312"/>
                <w:sz w:val="28"/>
              </w:rPr>
              <w:t>⑤符合《农户小型粮仓建设标准》LS/T8005-2009。</w:t>
            </w:r>
          </w:p>
          <w:p>
            <w:pPr>
              <w:pStyle w:val="null3"/>
              <w:ind w:firstLine="56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标的名称：玉米仓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钢网玉米仓</w:t>
            </w:r>
          </w:p>
        </w:tc>
        <w:tc>
          <w:tcPr>
            <w:tcW w:type="dxa" w:w="2076"/>
          </w:tcPr>
          <w:p>
            <w:pPr>
              <w:pStyle w:val="null3"/>
              <w:ind w:firstLine="560"/>
              <w:jc w:val="both"/>
            </w:pPr>
            <w:r>
              <w:rPr>
                <w:rFonts w:ascii="仿宋_GB2312" w:hAnsi="仿宋_GB2312" w:cs="仿宋_GB2312" w:eastAsia="仿宋_GB2312"/>
                <w:sz w:val="28"/>
              </w:rPr>
              <w:t>①</w:t>
            </w:r>
            <w:r>
              <w:rPr>
                <w:rFonts w:ascii="仿宋_GB2312" w:hAnsi="仿宋_GB2312" w:cs="仿宋_GB2312" w:eastAsia="仿宋_GB2312"/>
                <w:sz w:val="28"/>
              </w:rPr>
              <w:t>仓型为</w:t>
            </w:r>
            <w:r>
              <w:rPr>
                <w:rFonts w:ascii="仿宋_GB2312" w:hAnsi="仿宋_GB2312" w:cs="仿宋_GB2312" w:eastAsia="仿宋_GB2312"/>
                <w:sz w:val="28"/>
              </w:rPr>
              <w:t>JSWG</w:t>
            </w:r>
            <w:r>
              <w:rPr>
                <w:rFonts w:ascii="仿宋_GB2312" w:hAnsi="仿宋_GB2312" w:cs="仿宋_GB2312" w:eastAsia="仿宋_GB2312"/>
                <w:sz w:val="28"/>
              </w:rPr>
              <w:t>型，</w:t>
            </w:r>
            <w:r>
              <w:rPr>
                <w:rFonts w:ascii="仿宋_GB2312" w:hAnsi="仿宋_GB2312" w:cs="仿宋_GB2312" w:eastAsia="仿宋_GB2312"/>
                <w:sz w:val="28"/>
              </w:rPr>
              <w:t>以C型钢为主体框架，以钢板冲孔网防护主体的矩形仓，</w:t>
            </w:r>
            <w:r>
              <w:rPr>
                <w:rFonts w:ascii="仿宋_GB2312" w:hAnsi="仿宋_GB2312" w:cs="仿宋_GB2312" w:eastAsia="仿宋_GB2312"/>
                <w:sz w:val="28"/>
              </w:rPr>
              <w:t>长</w:t>
            </w:r>
            <w:r>
              <w:rPr>
                <w:rFonts w:ascii="仿宋_GB2312" w:hAnsi="仿宋_GB2312" w:cs="仿宋_GB2312" w:eastAsia="仿宋_GB2312"/>
                <w:sz w:val="28"/>
              </w:rPr>
              <w:t>≥</w:t>
            </w:r>
            <w:r>
              <w:rPr>
                <w:rFonts w:ascii="仿宋_GB2312" w:hAnsi="仿宋_GB2312" w:cs="仿宋_GB2312" w:eastAsia="仿宋_GB2312"/>
                <w:sz w:val="28"/>
              </w:rPr>
              <w:t>4.9米，高</w:t>
            </w:r>
            <w:r>
              <w:rPr>
                <w:rFonts w:ascii="仿宋_GB2312" w:hAnsi="仿宋_GB2312" w:cs="仿宋_GB2312" w:eastAsia="仿宋_GB2312"/>
                <w:sz w:val="28"/>
              </w:rPr>
              <w:t>≥</w:t>
            </w:r>
            <w:r>
              <w:rPr>
                <w:rFonts w:ascii="仿宋_GB2312" w:hAnsi="仿宋_GB2312" w:cs="仿宋_GB2312" w:eastAsia="仿宋_GB2312"/>
                <w:sz w:val="28"/>
              </w:rPr>
              <w:t>2.4米</w:t>
            </w:r>
            <w:r>
              <w:rPr>
                <w:rFonts w:ascii="仿宋_GB2312" w:hAnsi="仿宋_GB2312" w:cs="仿宋_GB2312" w:eastAsia="仿宋_GB2312"/>
                <w:sz w:val="28"/>
              </w:rPr>
              <w:t>，</w:t>
            </w:r>
            <w:r>
              <w:rPr>
                <w:rFonts w:ascii="仿宋_GB2312" w:hAnsi="仿宋_GB2312" w:cs="仿宋_GB2312" w:eastAsia="仿宋_GB2312"/>
                <w:sz w:val="28"/>
              </w:rPr>
              <w:t>宽</w:t>
            </w:r>
            <w:r>
              <w:rPr>
                <w:rFonts w:ascii="仿宋_GB2312" w:hAnsi="仿宋_GB2312" w:cs="仿宋_GB2312" w:eastAsia="仿宋_GB2312"/>
                <w:sz w:val="28"/>
              </w:rPr>
              <w:t>≥</w:t>
            </w:r>
            <w:r>
              <w:rPr>
                <w:rFonts w:ascii="仿宋_GB2312" w:hAnsi="仿宋_GB2312" w:cs="仿宋_GB2312" w:eastAsia="仿宋_GB2312"/>
                <w:sz w:val="28"/>
              </w:rPr>
              <w:t>1.6</w:t>
            </w:r>
            <w:r>
              <w:rPr>
                <w:rFonts w:ascii="仿宋_GB2312" w:hAnsi="仿宋_GB2312" w:cs="仿宋_GB2312" w:eastAsia="仿宋_GB2312"/>
                <w:sz w:val="28"/>
              </w:rPr>
              <w:t>8</w:t>
            </w:r>
            <w:r>
              <w:rPr>
                <w:rFonts w:ascii="仿宋_GB2312" w:hAnsi="仿宋_GB2312" w:cs="仿宋_GB2312" w:eastAsia="仿宋_GB2312"/>
                <w:sz w:val="28"/>
              </w:rPr>
              <w:t>米，有效仓储容积</w:t>
            </w:r>
            <w:r>
              <w:rPr>
                <w:rFonts w:ascii="仿宋_GB2312" w:hAnsi="仿宋_GB2312" w:cs="仿宋_GB2312" w:eastAsia="仿宋_GB2312"/>
                <w:sz w:val="28"/>
              </w:rPr>
              <w:t>≥</w:t>
            </w:r>
            <w:r>
              <w:rPr>
                <w:rFonts w:ascii="仿宋_GB2312" w:hAnsi="仿宋_GB2312" w:cs="仿宋_GB2312" w:eastAsia="仿宋_GB2312"/>
                <w:sz w:val="28"/>
              </w:rPr>
              <w:t>16.5立方米，</w:t>
            </w:r>
            <w:r>
              <w:rPr>
                <w:rFonts w:ascii="仿宋_GB2312" w:hAnsi="仿宋_GB2312" w:cs="仿宋_GB2312" w:eastAsia="仿宋_GB2312"/>
                <w:sz w:val="28"/>
              </w:rPr>
              <w:t>C型钢厚度≥2.5mm。</w:t>
            </w:r>
          </w:p>
          <w:p>
            <w:pPr>
              <w:pStyle w:val="null3"/>
              <w:ind w:firstLine="560"/>
              <w:jc w:val="both"/>
            </w:pPr>
            <w:r>
              <w:rPr>
                <w:rFonts w:ascii="仿宋_GB2312" w:hAnsi="仿宋_GB2312" w:cs="仿宋_GB2312" w:eastAsia="仿宋_GB2312"/>
                <w:sz w:val="28"/>
              </w:rPr>
              <w:t>②</w:t>
            </w:r>
            <w:r>
              <w:rPr>
                <w:rFonts w:ascii="仿宋_GB2312" w:hAnsi="仿宋_GB2312" w:cs="仿宋_GB2312" w:eastAsia="仿宋_GB2312"/>
                <w:sz w:val="28"/>
              </w:rPr>
              <w:t>仓体上</w:t>
            </w:r>
            <w:r>
              <w:rPr>
                <w:rFonts w:ascii="仿宋_GB2312" w:hAnsi="仿宋_GB2312" w:cs="仿宋_GB2312" w:eastAsia="仿宋_GB2312"/>
                <w:sz w:val="28"/>
              </w:rPr>
              <w:t>活动立柱、</w:t>
            </w:r>
            <w:r>
              <w:rPr>
                <w:rFonts w:ascii="仿宋_GB2312" w:hAnsi="仿宋_GB2312" w:cs="仿宋_GB2312" w:eastAsia="仿宋_GB2312"/>
                <w:sz w:val="28"/>
              </w:rPr>
              <w:t>出粮仓门、</w:t>
            </w:r>
            <w:r>
              <w:rPr>
                <w:rFonts w:ascii="仿宋_GB2312" w:hAnsi="仿宋_GB2312" w:cs="仿宋_GB2312" w:eastAsia="仿宋_GB2312"/>
                <w:sz w:val="28"/>
              </w:rPr>
              <w:t>粮仓底座均由壁厚</w:t>
            </w: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毫米的距管焊接而成。</w:t>
            </w:r>
          </w:p>
          <w:p>
            <w:pPr>
              <w:pStyle w:val="null3"/>
              <w:ind w:firstLine="560"/>
              <w:jc w:val="both"/>
            </w:pPr>
            <w:r>
              <w:rPr>
                <w:rFonts w:ascii="仿宋_GB2312" w:hAnsi="仿宋_GB2312" w:cs="仿宋_GB2312" w:eastAsia="仿宋_GB2312"/>
                <w:sz w:val="28"/>
              </w:rPr>
              <w:t>③顶棚由钢骨架和彩钢瓦两部分组成。钢骨架采用方管焊接制作，厚度≥1.5mm，彩钢瓦厚度≥0.35mm，</w:t>
            </w:r>
            <w:r>
              <w:rPr>
                <w:rFonts w:ascii="仿宋_GB2312" w:hAnsi="仿宋_GB2312" w:cs="仿宋_GB2312" w:eastAsia="仿宋_GB2312"/>
                <w:sz w:val="28"/>
              </w:rPr>
              <w:t>钢板网板厚</w:t>
            </w:r>
            <w:r>
              <w:rPr>
                <w:rFonts w:ascii="仿宋_GB2312" w:hAnsi="仿宋_GB2312" w:cs="仿宋_GB2312" w:eastAsia="仿宋_GB2312"/>
                <w:sz w:val="28"/>
              </w:rPr>
              <w:t>≥</w:t>
            </w:r>
            <w:r>
              <w:rPr>
                <w:rFonts w:ascii="仿宋_GB2312" w:hAnsi="仿宋_GB2312" w:cs="仿宋_GB2312" w:eastAsia="仿宋_GB2312"/>
                <w:sz w:val="28"/>
              </w:rPr>
              <w:t>3mm，</w:t>
            </w:r>
            <w:r>
              <w:rPr>
                <w:rFonts w:ascii="仿宋_GB2312" w:hAnsi="仿宋_GB2312" w:cs="仿宋_GB2312" w:eastAsia="仿宋_GB2312"/>
                <w:sz w:val="28"/>
              </w:rPr>
              <w:t>网孔为</w:t>
            </w:r>
            <w:r>
              <w:rPr>
                <w:rFonts w:ascii="仿宋_GB2312" w:hAnsi="仿宋_GB2312" w:cs="仿宋_GB2312" w:eastAsia="仿宋_GB2312"/>
                <w:sz w:val="28"/>
              </w:rPr>
              <w:t>30mm</w:t>
            </w:r>
            <w:r>
              <w:rPr>
                <w:rFonts w:ascii="仿宋_GB2312" w:hAnsi="仿宋_GB2312" w:cs="仿宋_GB2312" w:eastAsia="仿宋_GB2312"/>
                <w:sz w:val="28"/>
              </w:rPr>
              <w:t>×</w:t>
            </w:r>
            <w:r>
              <w:rPr>
                <w:rFonts w:ascii="仿宋_GB2312" w:hAnsi="仿宋_GB2312" w:cs="仿宋_GB2312" w:eastAsia="仿宋_GB2312"/>
                <w:sz w:val="28"/>
              </w:rPr>
              <w:t>50mm</w:t>
            </w:r>
            <w:r>
              <w:rPr>
                <w:rFonts w:ascii="仿宋_GB2312" w:hAnsi="仿宋_GB2312" w:cs="仿宋_GB2312" w:eastAsia="仿宋_GB2312"/>
                <w:sz w:val="28"/>
              </w:rPr>
              <w:t>的菱形孔</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④</w:t>
            </w:r>
            <w:r>
              <w:rPr>
                <w:rFonts w:ascii="仿宋_GB2312" w:hAnsi="仿宋_GB2312" w:cs="仿宋_GB2312" w:eastAsia="仿宋_GB2312"/>
                <w:sz w:val="28"/>
              </w:rPr>
              <w:t>所有钢骨架组件均抛丸硼砂、喷塑处理，色泽为白灰色。</w:t>
            </w:r>
            <w:r>
              <w:rPr>
                <w:rFonts w:ascii="仿宋_GB2312" w:hAnsi="仿宋_GB2312" w:cs="仿宋_GB2312" w:eastAsia="仿宋_GB2312"/>
                <w:sz w:val="28"/>
              </w:rPr>
              <w:t>钢板网表面采用防锈漆喷涂两层。</w:t>
            </w:r>
          </w:p>
          <w:p>
            <w:pPr>
              <w:pStyle w:val="null3"/>
              <w:ind w:firstLine="560"/>
              <w:jc w:val="both"/>
            </w:pPr>
            <w:r>
              <w:rPr>
                <w:rFonts w:ascii="仿宋_GB2312" w:hAnsi="仿宋_GB2312" w:cs="仿宋_GB2312" w:eastAsia="仿宋_GB2312"/>
                <w:sz w:val="28"/>
              </w:rPr>
              <w:t>⑤</w:t>
            </w:r>
            <w:r>
              <w:rPr>
                <w:rFonts w:ascii="仿宋_GB2312" w:hAnsi="仿宋_GB2312" w:cs="仿宋_GB2312" w:eastAsia="仿宋_GB2312"/>
                <w:sz w:val="28"/>
              </w:rPr>
              <w:t>符合《农户小型粮仓建设标准》LS/T8005-2009。</w:t>
            </w:r>
          </w:p>
          <w:p>
            <w:pPr>
              <w:pStyle w:val="null3"/>
              <w:ind w:firstLine="56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合同签订后45个日历天供货安装调试完毕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合同签订后45个日历天供货安装调试完毕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采购人指定的交货地点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采购人指定的交货地点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货物交付并安装完毕后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货物交付并安装完毕后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自验收合格之日起一年后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 4、供应商应向采购人提交项目实施过程中的所有资料，以便采购人日后管理和维护。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质量保修范围：本项目包含的所有内容，保修期：12个月。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质量保修范围：本项目包含的所有内容，保修期：12个月。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 （1）向甲方所在地有管辖权的人民法院提起诉讼； （2）向铜川仲裁委员会按其仲裁规则依法仲裁。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 （1）向甲方所在地有管辖权的人民法院提起诉讼； （2）向铜川仲裁委员会按其仲裁规则依法仲裁。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1、小麦仓要求：①指定位置需有标识且标识内容应包括:正面仓圈顶层农学储粮专项标识,即“ 陕西省农户科学储粮专项工程 ”(弧形)及“编号:陕-户科20240000 ”;中层标识:农户科学储粮仓徽标,徽标尺寸为 400mm×300mm,±5mm;底层标识:“×××××公司承制 ”。 ②必须达到上不漏、下不潮,密封严,能防虫、防鼠、防霉变,坚固耐用,使用方便,美观大方;仓体内壁、仓底及外表面应光滑无毛刺;仓体不允许有裂纹、剥层、斑痕和锈蚀。 ③须配置产品使用说明书、出厂检验合格证，并在仓体表面装贴“注意事项”。 2、玉米仓要求：①具备坚固、装拆快捷、随意组合、储粮灵活，取粮方便，自然通风性能好，安全储存的时间长，粮食损耗小，设计合理。 3、每套储粮仓供应商负责送货上门、建设安装和提供技术指导及售后服务，质保期12个月。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2023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提交2024年4月1日至今任意一个月的纳税证明或完税证明，纳税证明或完税证明上应有代收机构或税务机关的公章或业务专用章。（依法免税的供应商应提供相应文件证明）；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2024年4月1日至今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2023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提交2024年4月1日至今任意一个月的纳税证明或完税证明，纳税证明或完税证明上应有代收机构或税务机关的公章或业务专用章。（依法免税的供应商应提供相应文件证明）；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2024年4月1日至今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投标文件封面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满足磋商文件规定，格式、填写要求符合磋商文件规定并加盖供应商电子签章。</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投标文件封面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满足磋商文件规定，格式、填写要求符合磋商文件规定并加盖供应商电子签章。</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审查产品技术参数资料(包括但不限于产品技术参数、彩页、检测报告等)：投标产品完全满足或优于招标文件要求的得10分；每负偏离一项扣2分，扣完为止；未提供投标产品技术参数资料的，得0分。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①供货(生产)进度方案；②配送方案；③到货后交接方案；④到货后存储方案。二、评审标准：①完整性：方案内容描述齐全详细；②可行性：各环节分工明确，流程衔接紧密，与项目目标高度匹配。三、赋分标准（满分20分）：①针对供货(生产)进度方案，每完全满足一项评审标准得2.5分，满分5分；存在一处瑕疵扣（0.1-2.5分）。②针对配送方案，每完全满足一项评审标准得2.5分，满分5分；存在一处瑕疵扣（0.1-2.5分）。③针对到货后交接方案，每完全满足一项评审标准得2.5分，满分5分；存在一处瑕疵扣（0.1-2.5分）。④针对到货后存储方案，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货物选型方案；②安装调试方案；③验收方案。二、评审标准：①针对性：内容科学合理，贴合项目实际情况；②可行性：步骤清晰，可操作性强；三、赋分标准（满分15分）：①针对货物选型方案，每完全满足一项评审标准得2.5分，满分5分；存在一处瑕疵扣（0.1-2.5分）。②针对安装调试方案，每完全满足一项评审标准得2.5分，满分5分；存在一处瑕疵扣（0.1-2.5分）。③针对验收方案，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①售后服务承诺及保障措施；②响应及处理周期；③突发情况应急处置措施。二、评审标准：①完整性：内容齐全，包含本项目可能出现的各种情况；②针对性：内容科学合理，符合项目实际情况；三、赋分标准（满分15分）：①针对售后服务承诺及保障措施，每完全满足一项评审标准得2.5分，满分5分；存在一处瑕疵扣（0.1-2.5分）。②针对响应及处理周期，每完全满足一项评审标准得2.5分，满分5分；存在一处瑕疵扣0.1-2.5分）。③针对突发情况应急处置措施，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提供合同复印件、中标通知书复印件及省级以上政府采购平台公示截图并加盖单位公章）已完成的该项目类似业绩，每提供1份得2分，最高计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审查产品技术参数资料(包括但不限于产品技术参数、彩页、检测报告等)：投标产品完全满足或优于招标文件要求的得10分；每负偏离一项扣2分，扣完为止；未提供投标产品技术参数资料的，得0分。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①供货(生产)进度方案；②配送方案；③到货后交接方案；④到货后存储方案。二、评审标准：①完整性：方案内容描述齐全详细；②可行性：各环节分工明确，流程衔接紧密，与项目目标高度匹配。三、赋分标准（满分20分）：①针对供货(生产)进度方案，每完全满足一项评审标准得2.5分，满分5分；存在一处瑕疵扣（0.1-2.5分）。②针对配送方案，每完全满足一项评审标准得2.5分，满分5分；存在一处瑕疵扣（0.1-2.5分）。③针对到货后交接方案，每完全满足一项评审标准得2.5分，满分5分；存在一处瑕疵扣（0.1-2.5分）。④针对到货后存储方案，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货物选型方案；②安装调试方案；③验收方案。二、评审标准：①针对性：内容科学合理，贴合项目实际情况；②可行性：步骤清晰，可操作性强；三、赋分标准（满分15分）：①针对货物选型方案，每完全满足一项评审标准得2.5分，满分5分；存在一处瑕疵扣（0.1-2.5分）。②针对安装调试方案，每完全满足一项评审标准得2.5分，满分5分；存在一处瑕疵扣（0.1-2.5分）。③针对验收方案，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①售后服务承诺及保障措施；②响应及处理周期；③突发情况应急处置措施。二、评审标准：①完整性：内容齐全，包含本项目可能出现的各种情况；②针对性：内容科学合理，符合项目实际情况；三、赋分标准（满分15分）：①针对售后服务承诺及保障措施，每完全满足一项评审标准得2.5分，满分5分；存在一处瑕疵扣（0.1-2.5分）。②针对响应及处理周期，每完全满足一项评审标准得2.5分，满分5分；存在一处瑕疵扣0.1-2.5分）。③针对突发情况应急处置措施，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提供合同复印件、中标通知书复印件及省级以上政府采购平台公示截图并加盖单位公章）已完成的该项目类似业绩，每提供1份得2分，最高计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