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版本号：SXBH-ZFCG-2025-01820250416001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耀州区人民政府大院网络服务及运维管护项目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SXBH-ZFCG-2025-018</w:t>
      </w:r>
      <w:r>
        <w:br/>
      </w:r>
      <w:r>
        <w:br/>
      </w:r>
      <w:r>
        <w:br/>
      </w:r>
    </w:p>
    <w:p>
      <w:pPr>
        <w:pStyle w:val="null3"/>
        <w:jc w:val="center"/>
        <w:outlineLvl w:val="5"/>
      </w:pPr>
      <w:r>
        <w:rPr>
          <w:rFonts w:ascii="仿宋_GB2312" w:hAnsi="仿宋_GB2312" w:cs="仿宋_GB2312" w:eastAsia="仿宋_GB2312"/>
          <w:sz w:val="15"/>
          <w:b/>
        </w:rPr>
        <w:t>铜川市耀州区人民政府办公室</w:t>
      </w:r>
    </w:p>
    <w:p>
      <w:pPr>
        <w:pStyle w:val="null3"/>
        <w:jc w:val="center"/>
        <w:outlineLvl w:val="5"/>
      </w:pPr>
      <w:r>
        <w:rPr>
          <w:rFonts w:ascii="仿宋_GB2312" w:hAnsi="仿宋_GB2312" w:cs="仿宋_GB2312" w:eastAsia="仿宋_GB2312"/>
          <w:sz w:val="15"/>
          <w:b/>
        </w:rPr>
        <w:t>陕西北衡全项目咨询有限公司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铜川市耀州区人民政府办公室</w:t>
      </w:r>
      <w:r>
        <w:rPr>
          <w:rFonts w:ascii="仿宋_GB2312" w:hAnsi="仿宋_GB2312" w:cs="仿宋_GB2312" w:eastAsia="仿宋_GB2312"/>
        </w:rPr>
        <w:t>委托，拟对</w:t>
      </w:r>
      <w:r>
        <w:rPr>
          <w:rFonts w:ascii="仿宋_GB2312" w:hAnsi="仿宋_GB2312" w:cs="仿宋_GB2312" w:eastAsia="仿宋_GB2312"/>
        </w:rPr>
        <w:t>耀州区人民政府大院网络服务及运维管护项目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SXBH-ZFCG-2025-018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耀州区人民政府大院网络服务及运维管护项目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耀州区人民政府大院网络服务及运维管护</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1、营业执照：提供有效存续的事业单位法人证书（分支机构参与协商时，采购文件中应附（法人企业）总公司出具的授权书及营业执照， 总公司及授权分公司可就本项目或此类项目在一定范围或时间内出具法人企业授权书进行转授权（授权仅限分公司范围内））；供应商需在项目电子化交易系统中按要求上传相应证明文件并进行电子签章。</w:t>
      </w:r>
    </w:p>
    <w:p>
      <w:pPr>
        <w:pStyle w:val="null3"/>
      </w:pPr>
      <w:r>
        <w:rPr>
          <w:rFonts w:ascii="仿宋_GB2312" w:hAnsi="仿宋_GB2312" w:cs="仿宋_GB2312" w:eastAsia="仿宋_GB2312"/>
        </w:rPr>
        <w:t>2、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投标人；（“中国执行信息公开网”应提供法定代表人查询截图且不得被列入以上名单。）；供应商需在项目电子化交易系统中按要求上传相应证明文件并进行电子签章。</w:t>
      </w:r>
    </w:p>
    <w:p>
      <w:pPr>
        <w:pStyle w:val="null3"/>
      </w:pPr>
      <w:r>
        <w:rPr>
          <w:rFonts w:ascii="仿宋_GB2312" w:hAnsi="仿宋_GB2312" w:cs="仿宋_GB2312" w:eastAsia="仿宋_GB2312"/>
        </w:rPr>
        <w:t>3、有依法缴纳税收的良好记录：提供协商截止日前近一年内已缴纳的至少一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有依法缴纳社会保障资金的良好记录：提供协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法定代表人证明书或法定代表人授权书：法定代表人参加协商的，须提供法定代表人证明书及本人身份证复印件；法定代表人授权他人参加协商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6、具有履行合同所必需的设备和专业技术能力：具有履行合同所必需的设备和专业技术能力（提供声明）；供应商需在项目电子化交易系统中按要求上传相应证明文件并进行电子签章。</w:t>
      </w:r>
    </w:p>
    <w:p>
      <w:pPr>
        <w:pStyle w:val="null3"/>
      </w:pPr>
      <w:r>
        <w:rPr>
          <w:rFonts w:ascii="仿宋_GB2312" w:hAnsi="仿宋_GB2312" w:cs="仿宋_GB2312" w:eastAsia="仿宋_GB2312"/>
        </w:rPr>
        <w:t>7、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13309197270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陕西省铜川市印台区陕西省铜川市印台区城关街道办事处南苑社区惠民佳苑8号楼2楼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常多多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18091953010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采购包1：313,400.00元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采购包1：313,400.00元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代理服务费收费标准：本项目采购代理服务收费标准依据国家计委（计价格[2002]1980号）文件规定计取，以成交金额为计算基数，按差额定率累进法计算。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铜川市耀州区人民政府办公室</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铜川市耀州区人民政府办公室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耀州区人民政府大院网络服务及运维管护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313,400.00</w:t>
      </w:r>
    </w:p>
    <w:p>
      <w:pPr>
        <w:pStyle w:val="null3"/>
      </w:pPr>
      <w:r>
        <w:rPr>
          <w:rFonts w:ascii="仿宋_GB2312" w:hAnsi="仿宋_GB2312" w:cs="仿宋_GB2312" w:eastAsia="仿宋_GB2312"/>
        </w:rPr>
        <w:t>采购包最高限价（元）: 313,400.00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政务信息化服务及网络安全服务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313,400.00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标的名称：政务信息化服务及网络安全服务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政务信息化服务及网络安全服务</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94"/>
              <w:gridCol w:w="332"/>
              <w:gridCol w:w="589"/>
              <w:gridCol w:w="372"/>
              <w:gridCol w:w="372"/>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序号</w:t>
                  </w:r>
                </w:p>
              </w:tc>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产品名称</w:t>
                  </w:r>
                </w:p>
              </w:tc>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产品参数</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数量</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单位</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互联网专线</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上行速率</w:t>
                  </w:r>
                  <w:r>
                    <w:rPr>
                      <w:rFonts w:ascii="仿宋_GB2312" w:hAnsi="仿宋_GB2312" w:cs="仿宋_GB2312" w:eastAsia="仿宋_GB2312"/>
                      <w:sz w:val="24"/>
                      <w:color w:val="000000"/>
                    </w:rPr>
                    <w:t>500M,下行速率 500M，一个固定 IP 地址</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互联网专线</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上行速率</w:t>
                  </w:r>
                  <w:r>
                    <w:rPr>
                      <w:rFonts w:ascii="仿宋_GB2312" w:hAnsi="仿宋_GB2312" w:cs="仿宋_GB2312" w:eastAsia="仿宋_GB2312"/>
                      <w:sz w:val="24"/>
                      <w:color w:val="000000"/>
                    </w:rPr>
                    <w:t>300M,下行速率 300M，一个固定 IP 地址</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数字电路</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数字电路：</w:t>
                  </w:r>
                  <w:r>
                    <w:rPr>
                      <w:rFonts w:ascii="仿宋_GB2312" w:hAnsi="仿宋_GB2312" w:cs="仿宋_GB2312" w:eastAsia="仿宋_GB2312"/>
                      <w:sz w:val="24"/>
                      <w:color w:val="000000"/>
                    </w:rPr>
                    <w:t>上行速率</w:t>
                  </w:r>
                  <w:r>
                    <w:rPr>
                      <w:rFonts w:ascii="仿宋_GB2312" w:hAnsi="仿宋_GB2312" w:cs="仿宋_GB2312" w:eastAsia="仿宋_GB2312"/>
                      <w:sz w:val="24"/>
                      <w:color w:val="000000"/>
                    </w:rPr>
                    <w:t>200M,下行速率 200M</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w:t>
                  </w:r>
                  <w:r>
                    <w:rPr>
                      <w:rFonts w:ascii="仿宋_GB2312" w:hAnsi="仿宋_GB2312" w:cs="仿宋_GB2312" w:eastAsia="仿宋_GB2312"/>
                      <w:sz w:val="24"/>
                      <w:color w:val="000000"/>
                    </w:rPr>
                    <w:t>安全监测</w:t>
                  </w:r>
                </w:p>
                <w:p>
                  <w:pPr>
                    <w:pStyle w:val="null3"/>
                    <w:jc w:val="center"/>
                  </w:pP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00"/>
                    </w:rPr>
                    <w:t>为互联网接入提供流量控制、访问控制、行为管理</w:t>
                  </w:r>
                  <w:r>
                    <w:rPr>
                      <w:rFonts w:ascii="仿宋_GB2312" w:hAnsi="仿宋_GB2312" w:cs="仿宋_GB2312" w:eastAsia="仿宋_GB2312"/>
                      <w:sz w:val="24"/>
                      <w:color w:val="000000"/>
                    </w:rPr>
                    <w:t>、安全审计等网络安全防护服务；同时提供对</w:t>
                  </w:r>
                  <w:r>
                    <w:rPr>
                      <w:rFonts w:ascii="仿宋_GB2312" w:hAnsi="仿宋_GB2312" w:cs="仿宋_GB2312" w:eastAsia="仿宋_GB2312"/>
                      <w:sz w:val="24"/>
                      <w:color w:val="000000"/>
                    </w:rPr>
                    <w:t>内网诊断、安全审计</w:t>
                  </w:r>
                  <w:r>
                    <w:rPr>
                      <w:rFonts w:ascii="仿宋_GB2312" w:hAnsi="仿宋_GB2312" w:cs="仿宋_GB2312" w:eastAsia="仿宋_GB2312"/>
                      <w:sz w:val="24"/>
                      <w:color w:val="000000"/>
                    </w:rPr>
                    <w:t>等</w:t>
                  </w:r>
                  <w:r>
                    <w:rPr>
                      <w:rFonts w:ascii="仿宋_GB2312" w:hAnsi="仿宋_GB2312" w:cs="仿宋_GB2312" w:eastAsia="仿宋_GB2312"/>
                      <w:sz w:val="24"/>
                      <w:color w:val="000000"/>
                    </w:rPr>
                    <w:t>网络安全监测</w:t>
                  </w:r>
                  <w:r>
                    <w:rPr>
                      <w:rFonts w:ascii="仿宋_GB2312" w:hAnsi="仿宋_GB2312" w:cs="仿宋_GB2312" w:eastAsia="仿宋_GB2312"/>
                      <w:sz w:val="24"/>
                      <w:color w:val="000000"/>
                    </w:rPr>
                    <w:t>服务</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w:t>
                  </w:r>
                  <w:r>
                    <w:rPr>
                      <w:rFonts w:ascii="仿宋_GB2312" w:hAnsi="仿宋_GB2312" w:cs="仿宋_GB2312" w:eastAsia="仿宋_GB2312"/>
                      <w:sz w:val="24"/>
                      <w:color w:val="000000"/>
                    </w:rPr>
                    <w:t>线路维护</w:t>
                  </w:r>
                </w:p>
                <w:p>
                  <w:pPr>
                    <w:pStyle w:val="null3"/>
                    <w:jc w:val="center"/>
                  </w:pP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办公楼弱电线路</w:t>
                  </w:r>
                  <w:r>
                    <w:rPr>
                      <w:rFonts w:ascii="仿宋_GB2312" w:hAnsi="仿宋_GB2312" w:cs="仿宋_GB2312" w:eastAsia="仿宋_GB2312"/>
                      <w:sz w:val="24"/>
                    </w:rPr>
                    <w:t>日常</w:t>
                  </w:r>
                  <w:r>
                    <w:rPr>
                      <w:rFonts w:ascii="仿宋_GB2312" w:hAnsi="仿宋_GB2312" w:cs="仿宋_GB2312" w:eastAsia="仿宋_GB2312"/>
                      <w:sz w:val="24"/>
                    </w:rPr>
                    <w:t>维护</w:t>
                  </w:r>
                  <w:r>
                    <w:rPr>
                      <w:rFonts w:ascii="仿宋_GB2312" w:hAnsi="仿宋_GB2312" w:cs="仿宋_GB2312" w:eastAsia="仿宋_GB2312"/>
                      <w:sz w:val="24"/>
                    </w:rPr>
                    <w:t>、配套网络设备日常维护并提供</w:t>
                  </w:r>
                  <w:r>
                    <w:rPr>
                      <w:rFonts w:ascii="仿宋_GB2312" w:hAnsi="仿宋_GB2312" w:cs="仿宋_GB2312" w:eastAsia="仿宋_GB2312"/>
                      <w:sz w:val="24"/>
                    </w:rPr>
                    <w:t>2次/月网络巡检服务，通过巡检及时发现并排除故障及隐患，确保线路正常运行，节假日期间，或有重要的会议及有关活动期间，应专门安排值班，同时作好应急准备工作，必要时安排专人在现场值班，以确保系统正常运行；</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在网络代维期间提供故障设备采购更换服务；</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在网络代维期间提供因实际工作需要的弱电线路改造服务。</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bl>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达到满足本项目所需的人员配置要求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达到满足本项目所需的设施设备要求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 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本项目为一招三年项目，后续两年由采购人及成交单位自行签订合同及协商付款等事宜。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两年任一年度的经会计师事务所或审计机构审计的财务审计报告(包括审计报告、资产负债表、利润表、现金流量表、所有者权益变动表、附注等全部内容，成立时间至提交响应文件截止时间不足一年的可提供成立后任意时段的资产负债表)及财务情况说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提供有效存续的事业单位法人证书（分支机构参与协商时，采购文件中应附（法人企业）总公司出具的授权书及营业执照， 总公司及授权分公司可就本项目或此类项目在一定范围或时间内出具法人企业授权书进行转授权（授权仅限分公司范围内））；供应商需在项目电子化交易系统中按要求上传相应证明文件并进行电子签章。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投标人；（“中国执行信息公开网”应提供法定代表人查询截图且不得被列入以上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协商截止日前近一年内已缴纳的至少一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协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协商的，须提供法定代表人证明书及本人身份证复印件；法定代表人授权他人参加协商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采购文件的规定和要求在响应文件中指定的页面落款处加盖公章或由法定代表人或被授权人签名（或盖章），其余页面逐页盖公章，否则将作为无效文件处理。采购文件凡是要求法定代表人签名或盖章之处 ，非法人单位的负责人均参照执行。</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采购文件所有报价未超过最高限价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协商有效期</w:t>
            </w:r>
          </w:p>
        </w:tc>
        <w:tc>
          <w:tcPr>
            <w:tcW w:type="dxa" w:w="3322"/>
          </w:tcPr>
          <w:p>
            <w:pPr>
              <w:pStyle w:val="null3"/>
            </w:pPr>
            <w:r>
              <w:rPr>
                <w:rFonts w:ascii="仿宋_GB2312" w:hAnsi="仿宋_GB2312" w:cs="仿宋_GB2312" w:eastAsia="仿宋_GB2312"/>
              </w:rPr>
              <w:t>自首次递交投标文件之日起90日历日</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