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版本号：QSHP-CG-25-001-220250425001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2024年农村公路桥梁检测评定服务(二次)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QSHP-CG-25-001-2</w:t>
      </w:r>
      <w:r>
        <w:br/>
      </w:r>
      <w:r>
        <w:br/>
      </w:r>
      <w:r>
        <w:br/>
      </w:r>
    </w:p>
    <w:p>
      <w:pPr>
        <w:pStyle w:val="null3"/>
        <w:jc w:val="center"/>
        <w:outlineLvl w:val="2"/>
      </w:pPr>
      <w:r>
        <w:rPr>
          <w:rFonts w:ascii="仿宋_GB2312" w:hAnsi="仿宋_GB2312" w:cs="仿宋_GB2312" w:eastAsia="仿宋_GB2312"/>
          <w:sz w:val="28"/>
          <w:b/>
        </w:rPr>
        <w:t>铜川市耀州区交通运输局</w:t>
      </w:r>
    </w:p>
    <w:p>
      <w:pPr>
        <w:pStyle w:val="null3"/>
        <w:jc w:val="center"/>
        <w:outlineLvl w:val="2"/>
      </w:pPr>
      <w:r>
        <w:rPr>
          <w:rFonts w:ascii="仿宋_GB2312" w:hAnsi="仿宋_GB2312" w:cs="仿宋_GB2312" w:eastAsia="仿宋_GB2312"/>
          <w:sz w:val="28"/>
          <w:b/>
        </w:rPr>
        <w:t>陕西乾盛汇鹏项目管理有限公司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陕西乾盛汇鹏项目管理有限公司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铜川市耀州区交通运输局</w:t>
      </w:r>
      <w:r>
        <w:rPr>
          <w:rFonts w:ascii="仿宋_GB2312" w:hAnsi="仿宋_GB2312" w:cs="仿宋_GB2312" w:eastAsia="仿宋_GB2312"/>
        </w:rPr>
        <w:t>委托，拟对</w:t>
      </w:r>
      <w:r>
        <w:rPr>
          <w:rFonts w:ascii="仿宋_GB2312" w:hAnsi="仿宋_GB2312" w:cs="仿宋_GB2312" w:eastAsia="仿宋_GB2312"/>
        </w:rPr>
        <w:t>2024年农村公路桥梁检测评定服务(二次)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QSHP-CG-25-001-2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2024年农村公路桥梁检测评定服务(二次)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对管辖的34座桥梁进行桥梁技术状况评定，并对县道5座桥进行桥梁荷载试验。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采购包1（2024年农村公路桥梁检测评定服务）：属于专门面向中小企业采购。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供应商为具有独立承担民事责任能力的法人、其他组织或自然人。企业法人应提供合法有效的标识有统一社会信用代码的营业执照；事业法人应提供事业单位法人证书；其他组织应提供合法登记证明文件； 自然人应提供身份证。</w:t>
      </w:r>
    </w:p>
    <w:p>
      <w:pPr>
        <w:pStyle w:val="null3"/>
      </w:pPr>
      <w:r>
        <w:rPr>
          <w:rFonts w:ascii="仿宋_GB2312" w:hAnsi="仿宋_GB2312" w:cs="仿宋_GB2312" w:eastAsia="仿宋_GB2312"/>
        </w:rPr>
        <w:t>2、法定代表人授权书及被授权人身份证：法定代表人直接参加磋商的，须出具法人身份证明，并与营业执照上信息一致；被授权人参加磋商的，须出具法定代表人授权书、被授权人身份证。</w:t>
      </w:r>
    </w:p>
    <w:p>
      <w:pPr>
        <w:pStyle w:val="null3"/>
      </w:pPr>
      <w:r>
        <w:rPr>
          <w:rFonts w:ascii="仿宋_GB2312" w:hAnsi="仿宋_GB2312" w:cs="仿宋_GB2312" w:eastAsia="仿宋_GB2312"/>
        </w:rPr>
        <w:t>3、资质证书：须同时具有交通运输部工程质量监督局颁发的公路工程综合甲级和桥梁隧道工程专项检测资质，同时具有省级及以上计量行政主管部门颁发的CMA计量认证证书。</w:t>
      </w:r>
    </w:p>
    <w:p>
      <w:pPr>
        <w:pStyle w:val="null3"/>
      </w:pPr>
      <w:r>
        <w:rPr>
          <w:rFonts w:ascii="仿宋_GB2312" w:hAnsi="仿宋_GB2312" w:cs="仿宋_GB2312" w:eastAsia="仿宋_GB2312"/>
        </w:rPr>
        <w:t>4、财务状况报告：提供2023年或2024年度经财务审计机构出具的财务审计报告（至少包括资产负债表和利润表，成立时间至提交响应文件截止时间不足一年的可提供成立后任意时段的资产负债表），或基本存款账户开户银行出具的资信证明。</w:t>
      </w:r>
    </w:p>
    <w:p>
      <w:pPr>
        <w:pStyle w:val="null3"/>
      </w:pPr>
      <w:r>
        <w:rPr>
          <w:rFonts w:ascii="仿宋_GB2312" w:hAnsi="仿宋_GB2312" w:cs="仿宋_GB2312" w:eastAsia="仿宋_GB2312"/>
        </w:rPr>
        <w:t>5、社保缴纳证明：提供供应商开标前六个月至今已缴存的至少一个月的城镇职工基本养老保险参保缴费证明，依法不需要缴纳社会保障资金的单位应提供相关证明材料。</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7、税收缴纳证明：提供供应商开标前六个月至今已缴纳的至少一个月的纳税证明或完税证明（提供增值税、企业所得税至少一种）, 依法免税的单位应提供相关证明材料。</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8、控股管理关系：单位负责人为同一人或者存在直接控股、管理关系的供应商，不得参加同一合同下的政府采购活动（提供承诺函）。</w:t>
      </w:r>
    </w:p>
    <w:p>
      <w:pPr>
        <w:pStyle w:val="null3"/>
      </w:pPr>
      <w:r>
        <w:rPr>
          <w:rFonts w:ascii="仿宋_GB2312" w:hAnsi="仿宋_GB2312" w:cs="仿宋_GB2312" w:eastAsia="仿宋_GB2312"/>
        </w:rPr>
        <w:t>9、具有履行本合同所必需的设备和专业技术能力；：提供具有履行本合同所必需的设备和专业技术能力的说明或承诺</w:t>
      </w:r>
    </w:p>
    <w:p>
      <w:pPr>
        <w:pStyle w:val="null3"/>
      </w:pPr>
      <w:r>
        <w:rPr>
          <w:rFonts w:ascii="仿宋_GB2312" w:hAnsi="仿宋_GB2312" w:cs="仿宋_GB2312" w:eastAsia="仿宋_GB2312"/>
        </w:rPr>
        <w:t>10、供应商信用：供应商不得为“信用中国” 网站（ www.creditchina.gov.cn）（中国执行信息公开网）中列入失信被执行人和重大税收违法失信主 体名单的供应商，不得为“ 中国政府采购网” 网站（ 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铜川市耀州区锦阳路83号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雷一亮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15399191673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陕西乾盛汇鹏项目管理有限公司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陕西省西安市莲湖区陕西省西安市莲湖区唐延路北段 20号太和时代广场A座501-A288</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吴兰兰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18717595266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 计价格【2002】1980号）、《国家发展和改革委员会办公厅关于招标代理服务收费有关问题 的通知》（发改办价格〔2003〕 857号）、国家发展改革委《关于进一步放开建设项目专业服 务价格的通知》（发改价格〔2015〕299号）。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铜川市耀州区交通运输局</w:t>
      </w:r>
      <w:r>
        <w:rPr>
          <w:rFonts w:ascii="仿宋_GB2312" w:hAnsi="仿宋_GB2312" w:cs="仿宋_GB2312" w:eastAsia="仿宋_GB2312"/>
        </w:rPr>
        <w:t>和</w:t>
      </w:r>
      <w:r>
        <w:rPr>
          <w:rFonts w:ascii="仿宋_GB2312" w:hAnsi="仿宋_GB2312" w:cs="仿宋_GB2312" w:eastAsia="仿宋_GB2312"/>
        </w:rPr>
        <w:t>陕西乾盛汇鹏项目管理有限公司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陕西乾盛汇鹏项目管理有限公司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陕西乾盛汇鹏项目管理有限公司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陕西乾盛汇鹏项目管理有限公司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陕西乾盛汇鹏项目管理有限公司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陕西乾盛汇鹏项目管理有限公司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联系人：吴兰兰</w:t>
      </w:r>
    </w:p>
    <w:p>
      <w:pPr>
        <w:pStyle w:val="null3"/>
      </w:pPr>
      <w:r>
        <w:rPr>
          <w:rFonts w:ascii="仿宋_GB2312" w:hAnsi="仿宋_GB2312" w:cs="仿宋_GB2312" w:eastAsia="仿宋_GB2312"/>
        </w:rPr>
        <w:t>联系电话：18717595266</w:t>
      </w:r>
    </w:p>
    <w:p>
      <w:pPr>
        <w:pStyle w:val="null3"/>
      </w:pPr>
      <w:r>
        <w:rPr>
          <w:rFonts w:ascii="仿宋_GB2312" w:hAnsi="仿宋_GB2312" w:cs="仿宋_GB2312" w:eastAsia="仿宋_GB2312"/>
        </w:rPr>
        <w:t>地址：陕西省铜川市新区长虹南路长虹办公三楼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对管辖的34座桥梁进行桥梁技术状况评定，并对县道5座桥进行桥梁荷载试验。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2024年农村公路桥梁检测评定服务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标的名称：2024年农村公路桥梁检测评定服务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b/>
                <w:color w:val="000000"/>
              </w:rPr>
              <w:t>1、项目概况</w:t>
            </w:r>
          </w:p>
          <w:p>
            <w:pPr>
              <w:pStyle w:val="null3"/>
              <w:spacing w:before="210"/>
              <w:ind w:firstLine="560"/>
              <w:jc w:val="both"/>
            </w:pPr>
            <w:r>
              <w:rPr>
                <w:rFonts w:ascii="仿宋_GB2312" w:hAnsi="仿宋_GB2312" w:cs="仿宋_GB2312" w:eastAsia="仿宋_GB2312"/>
                <w:sz w:val="24"/>
                <w:color w:val="000000"/>
              </w:rPr>
              <w:t>铜川市耀州区交通运输局拟对管辖的</w:t>
            </w:r>
            <w:r>
              <w:rPr>
                <w:rFonts w:ascii="仿宋_GB2312" w:hAnsi="仿宋_GB2312" w:cs="仿宋_GB2312" w:eastAsia="仿宋_GB2312"/>
                <w:sz w:val="24"/>
                <w:color w:val="000000"/>
              </w:rPr>
              <w:t>34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座桥梁进行桥梁技术状况评定，并对县</w:t>
            </w:r>
            <w:r>
              <w:rPr>
                <w:rFonts w:ascii="仿宋_GB2312" w:hAnsi="仿宋_GB2312" w:cs="仿宋_GB2312" w:eastAsia="仿宋_GB2312"/>
                <w:sz w:val="24"/>
                <w:color w:val="000000"/>
              </w:rPr>
              <w:t>道</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座桥梁进行桥梁荷载试验，以便于及时掌握在用桥梁的</w:t>
            </w:r>
            <w:r>
              <w:rPr>
                <w:rFonts w:ascii="仿宋_GB2312" w:hAnsi="仿宋_GB2312" w:cs="仿宋_GB2312" w:eastAsia="仿宋_GB2312"/>
                <w:sz w:val="24"/>
                <w:color w:val="000000"/>
              </w:rPr>
              <w:t>技术状况和安全状况，</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为桥梁正常使用、加固维修和技术改造提供依据支持。</w:t>
            </w:r>
          </w:p>
          <w:p>
            <w:pPr>
              <w:pStyle w:val="null3"/>
              <w:spacing w:before="60"/>
              <w:ind w:left="150"/>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检测</w:t>
            </w:r>
            <w:r>
              <w:rPr>
                <w:rFonts w:ascii="仿宋_GB2312" w:hAnsi="仿宋_GB2312" w:cs="仿宋_GB2312" w:eastAsia="仿宋_GB2312"/>
                <w:sz w:val="24"/>
                <w:b/>
                <w:color w:val="000000"/>
              </w:rPr>
              <w:t>内容</w:t>
            </w:r>
          </w:p>
          <w:p>
            <w:pPr>
              <w:pStyle w:val="null3"/>
              <w:spacing w:before="210"/>
              <w:ind w:right="120" w:firstLine="476"/>
              <w:jc w:val="both"/>
            </w:pPr>
            <w:r>
              <w:rPr>
                <w:rFonts w:ascii="仿宋_GB2312" w:hAnsi="仿宋_GB2312" w:cs="仿宋_GB2312" w:eastAsia="仿宋_GB2312"/>
                <w:sz w:val="24"/>
                <w:color w:val="000000"/>
              </w:rPr>
              <w:t>铜川市耀州区交通运输局</w:t>
            </w:r>
            <w:r>
              <w:rPr>
                <w:rFonts w:ascii="仿宋_GB2312" w:hAnsi="仿宋_GB2312" w:cs="仿宋_GB2312" w:eastAsia="仿宋_GB2312"/>
                <w:sz w:val="24"/>
                <w:color w:val="000000"/>
              </w:rPr>
              <w:t>2024年农村公路桥梁检测评定服务检测内容包括两个方面：</w:t>
            </w:r>
          </w:p>
          <w:p>
            <w:pPr>
              <w:pStyle w:val="null3"/>
              <w:spacing w:before="210"/>
              <w:ind w:right="120" w:firstLine="476"/>
              <w:jc w:val="both"/>
            </w:pPr>
            <w:r>
              <w:rPr>
                <w:rFonts w:ascii="仿宋_GB2312" w:hAnsi="仿宋_GB2312" w:cs="仿宋_GB2312" w:eastAsia="仿宋_GB2312"/>
                <w:sz w:val="24"/>
                <w:color w:val="000000"/>
              </w:rPr>
              <w:t>一为桥梁动静载试验，对吕村河大桥、西川矿一桥、西川矿二桥、庙湾桥和柳林大桥共计</w:t>
            </w:r>
            <w:r>
              <w:rPr>
                <w:rFonts w:ascii="仿宋_GB2312" w:hAnsi="仿宋_GB2312" w:cs="仿宋_GB2312" w:eastAsia="仿宋_GB2312"/>
                <w:sz w:val="24"/>
                <w:color w:val="000000"/>
              </w:rPr>
              <w:t>5 座桥梁进行动静载试验，每座桥梁抽检 1 孔，共计 5 孔。检验桥梁结构的正常使用状态和承载能力是否符合设计要求。</w:t>
            </w:r>
          </w:p>
          <w:p>
            <w:pPr>
              <w:pStyle w:val="null3"/>
              <w:spacing w:before="210"/>
              <w:ind w:right="120" w:firstLine="476"/>
              <w:jc w:val="both"/>
            </w:pPr>
            <w:r>
              <w:rPr>
                <w:rFonts w:ascii="仿宋_GB2312" w:hAnsi="仿宋_GB2312" w:cs="仿宋_GB2312" w:eastAsia="仿宋_GB2312"/>
                <w:sz w:val="24"/>
                <w:color w:val="000000"/>
              </w:rPr>
              <w:t>二为桥梁的技术状况评定，对管辖的</w:t>
            </w:r>
            <w:r>
              <w:rPr>
                <w:rFonts w:ascii="仿宋_GB2312" w:hAnsi="仿宋_GB2312" w:cs="仿宋_GB2312" w:eastAsia="仿宋_GB2312"/>
                <w:sz w:val="24"/>
                <w:color w:val="000000"/>
              </w:rPr>
              <w:t>34座桥梁逐座进行技术状况评定检测，及时掌握在用桥梁的技术状况和安全状况，为桥梁正常使用、加固维修和技术改造提供依据支持，为该桥的养护、管理、设计提供基础资料</w:t>
            </w:r>
            <w:r>
              <w:rPr>
                <w:rFonts w:ascii="仿宋_GB2312" w:hAnsi="仿宋_GB2312" w:cs="仿宋_GB2312" w:eastAsia="仿宋_GB2312"/>
                <w:sz w:val="24"/>
                <w:color w:val="000000"/>
              </w:rPr>
              <w:t>。</w:t>
            </w:r>
          </w:p>
          <w:p>
            <w:pPr>
              <w:pStyle w:val="null3"/>
              <w:spacing w:before="60"/>
              <w:ind w:left="150"/>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检测依据</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1）《公路桥梁荷载试验规程》（JTG/T J21-01-2015）；</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2）《公路工程技术标准》（JTG B01-2014）；</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3）《公路桥涵设计通用规范》（JTG D60-2015）；</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4）《公路钢筋混凝土及预应力混凝土桥涵设计规范》（JTG 3362-2018）；</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5）《公路桥梁承载能力检测评定规程》（JTG/T J21-2011）；</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）《公路桥梁技术状况评定标准》（</w:t>
            </w:r>
            <w:r>
              <w:rPr>
                <w:rFonts w:ascii="仿宋_GB2312" w:hAnsi="仿宋_GB2312" w:cs="仿宋_GB2312" w:eastAsia="仿宋_GB2312"/>
                <w:sz w:val="24"/>
                <w:color w:val="000000"/>
              </w:rPr>
              <w:t>JTG／T H21-2011</w:t>
            </w:r>
            <w:r>
              <w:rPr>
                <w:rFonts w:ascii="仿宋_GB2312" w:hAnsi="仿宋_GB2312" w:cs="仿宋_GB2312" w:eastAsia="仿宋_GB2312"/>
                <w:sz w:val="24"/>
                <w:color w:val="000000"/>
              </w:rPr>
              <w:t>）；</w:t>
            </w:r>
          </w:p>
          <w:p>
            <w:pPr>
              <w:pStyle w:val="null3"/>
              <w:spacing w:before="210"/>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试验桥梁相关设计文件。</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项目完成提交检测报告后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合同生效后，甲乙双方应按合同规定认真履约。合同履约责任只涉及合同甲乙双方，不考虑第三方因素。 除不可抗力原因外，如遇下列情况之一者，甲方有权扣除合同金额的5%，作为对甲方的赔偿，且甲方有权解除本合同:(1)合同签订后不能按合同时限要求完成项目内容;(2)所提供成本文件不符合要求;(3)不能按合同履约;(4)因服务质量原因，不能通过验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的相应准备，熟悉并正确实施相 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 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法定代表人直接参加磋商的，须出具法人身份证明，并与营业执照上信息一致；被授权人参加磋商的，须出具法定代表人授权书、被授权人身份证。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须同时具有交通运输部工程质量监督局颁发的公路工程综合甲级和桥梁隧道工程专项检测资质，同时具有省级及以上计量行政主管部门颁发的CMA计量认证证书。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财务审计机构出具的财务审计报告（至少包括资产负债表和利润表，成立时间至提交响应文件截止时间不足一年的可提供成立后任意时段的资产负债表），或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提供供应商开标前六个月至今已缴存的至少一个月的城镇职工基本养老保险参保缴费证明，依法不需要缴纳社会保障资金的单位应提供相关证明材料。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提供供应商开标前六个月至今已缴纳的至少一个月的纳税证明或完税证明（提供增值税、企业所得税至少一种）, 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 网站（ www.creditchina.gov.cn）（中国执行信息公开网）中列入失信被执行人和重大税收违法失信主 体名单的供应商，不得为“ 中国政府采购网” 网站（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同时满足以下条款：（1）报价唯一 （2）未超出采购 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投标文件商务要求未出现重大负偏离</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供应商针对项目提供整体实施方案，思路清晰、架构完整，从实施标准、工作计划、投入设备的合理性、详细性、完整性等进行描述。 1、整体实施方案科学、实用，工作计划、投入设备合理、详细、完整，计10.1-15分； 2、整体实施方案科学性、实用性一般，工作计划、投入设备较合理、详细、完整，计5.1-10分； 3、整体实施方案科学性、实用性略差，工作计划、投入设备存在明显缺项、漏项，计0-5分。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供应商正确识别本项目重点难点，针对重点难点进行分析并提出解决方案。 1、方案完善、科学合理、切实可行，计7.1-10分； 2、方案完整、基本符合项目特点，计4.1-7分； 3、方案简单、空泛，计0-4分。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供应商结合本项目要求制定合理、详细、完整的服务质量保障措施。 1、服务质量保障措施科学合理、具体可行，计4.1-6分； 2、服务质量保障措施基本合理、可行，计2.1-4分； 3、服务质量保障措施存在明显缺项、漏项，计0-2分。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供应商结合本项目要求制定合理、详细、完整的进度保证措施。 1、进度保证措施科学合理、具体可行，计4.1-6分； 2、进度保证措施基本合理、可行，计2.1-4分； 3、进度保证措施存在明显缺项、漏项，计0-2分。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安全作业保障措施</w:t>
            </w:r>
          </w:p>
        </w:tc>
        <w:tc>
          <w:tcPr>
            <w:tcW w:type="dxa" w:w="2492"/>
          </w:tcPr>
          <w:p>
            <w:pPr>
              <w:pStyle w:val="null3"/>
            </w:pPr>
            <w:r>
              <w:rPr>
                <w:rFonts w:ascii="仿宋_GB2312" w:hAnsi="仿宋_GB2312" w:cs="仿宋_GB2312" w:eastAsia="仿宋_GB2312"/>
              </w:rPr>
              <w:t>供应商结合本项目要求制定合理、详细、完整的安全作业保障措施。 1、安全作业保障措施科学合理、具体可行，计4.1-6分； 2、安全作业保障措施基本合理、可行，计2.1-4分； 3、安全作业保障措施存在明显缺项、漏项，计0-2分。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档案管理及保密承诺</w:t>
            </w:r>
          </w:p>
        </w:tc>
        <w:tc>
          <w:tcPr>
            <w:tcW w:type="dxa" w:w="2492"/>
          </w:tcPr>
          <w:p>
            <w:pPr>
              <w:pStyle w:val="null3"/>
            </w:pPr>
            <w:r>
              <w:rPr>
                <w:rFonts w:ascii="仿宋_GB2312" w:hAnsi="仿宋_GB2312" w:cs="仿宋_GB2312" w:eastAsia="仿宋_GB2312"/>
              </w:rPr>
              <w:t>根据资料管理制度、移交方案、保密制度、保密承诺等全面、有效、可行情况赋分。 1、方案严格、全面、行之有效，计4.1-6分； 2、方案较全面，可行性一般，计2.1-4分； 3、方案混乱，计0-2分。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供应商对本项目有详细、可行的服务承诺，包括前期准备中、组织实施时、提交成果后、参与项目验收工作等各项服务措施进行赋分。 1、服务承诺及措施合理可行，计7.1-10分； 2、服务承诺及措施基本满足项目需求，计4.1-7分； 3、服务承诺空泛不利于项目实施，计0-4分。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供应商根据采购内容及要求，提出合理化建议，需切合实际、有针对性、对项目实施具有指导作用。进行综合赋分，计0-5分。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拟投入的专业设施和设备</w:t>
            </w:r>
          </w:p>
        </w:tc>
        <w:tc>
          <w:tcPr>
            <w:tcW w:type="dxa" w:w="2492"/>
          </w:tcPr>
          <w:p>
            <w:pPr>
              <w:pStyle w:val="null3"/>
            </w:pPr>
            <w:r>
              <w:rPr>
                <w:rFonts w:ascii="仿宋_GB2312" w:hAnsi="仿宋_GB2312" w:cs="仿宋_GB2312" w:eastAsia="仿宋_GB2312"/>
              </w:rPr>
              <w:t>供应商根据采购内容及要求，提供针对本项目相关检测设备，根据其投入的专业设施和设备进行综合赋分。计0-6分。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项目组织架构</w:t>
            </w:r>
          </w:p>
        </w:tc>
        <w:tc>
          <w:tcPr>
            <w:tcW w:type="dxa" w:w="2492"/>
          </w:tcPr>
          <w:p>
            <w:pPr>
              <w:pStyle w:val="null3"/>
            </w:pPr>
            <w:r>
              <w:rPr>
                <w:rFonts w:ascii="仿宋_GB2312" w:hAnsi="仿宋_GB2312" w:cs="仿宋_GB2312" w:eastAsia="仿宋_GB2312"/>
              </w:rPr>
              <w:t>供应商针对本项目有专业服务团队，提供完整的项目组织架构。 1、人员分工明确、岗位职责搭配合理，人员工作经验丰富，计7.1-10分； 2、人员分工较明确、岗位职责搭配较合理，人员工作经验较丰富，计4.1-7分； 3、人员分工不明确、搭配不合理，工作经验不足，计0-4分。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提供2021年10月至今类似项目业绩，以合同签订时间为准，每提供一份计2.5分，此项共10分。未提供不计分。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价格分采用低价优先法计算，即满足竞争性磋商文件要求且投标价格最低的报价为评标基准价，其价格分为满分。其他供应商的价格分统一按照下列公式计算： 磋商报价得分=（评审基准价/磋商评审价）×10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