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版本号：HRC-ZBDL-2025-0058420250520001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耀州区城区路灯管护政府购买服务项目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HRC-ZBDL-2025-00584</w:t>
      </w:r>
      <w:r>
        <w:br/>
      </w:r>
      <w:r>
        <w:br/>
      </w:r>
      <w:r>
        <w:br/>
      </w:r>
    </w:p>
    <w:p>
      <w:pPr>
        <w:pStyle w:val="null3"/>
        <w:jc w:val="center"/>
        <w:outlineLvl w:val="2"/>
      </w:pPr>
      <w:r>
        <w:rPr>
          <w:rFonts w:ascii="仿宋_GB2312" w:hAnsi="仿宋_GB2312" w:cs="仿宋_GB2312" w:eastAsia="仿宋_GB2312"/>
          <w:sz w:val="28"/>
          <w:b/>
        </w:rPr>
        <w:t>铜川市耀州区住房和城乡建设局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铜川市耀州区住房和城乡建设局</w:t>
      </w:r>
      <w:r>
        <w:rPr>
          <w:rFonts w:ascii="仿宋_GB2312" w:hAnsi="仿宋_GB2312" w:cs="仿宋_GB2312" w:eastAsia="仿宋_GB2312"/>
        </w:rPr>
        <w:t>委托，拟对</w:t>
      </w:r>
      <w:r>
        <w:rPr>
          <w:rFonts w:ascii="仿宋_GB2312" w:hAnsi="仿宋_GB2312" w:cs="仿宋_GB2312" w:eastAsia="仿宋_GB2312"/>
        </w:rPr>
        <w:t>耀州区城区路灯管护政府购买服务项目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HRC-ZBDL-2025-00584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耀州区城区路灯管护政府购买服务项目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为了加强对城市道路照明设施的精细化管理，保证城市道路照明设施安全稳定运行，确保人民群众安全出行，拟委托第三方公司对耀州区城区路灯设施进行日常维护管理，并逐年对路灯实施改造。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采购包1（耀州区城区路灯管护政府购买服务项目）：属于专门面向小微企业采购。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法有效的营业执照等证明文件：投标人须具有独立承担民事责任的能力且具备向招标人提供相关货物及相应服务的企业法人/事业法人/其他组织,企业法人应提供合法有效的营业执照等证明文件，事业法人应提供合法有效的事业单位法人证等证明文件，其他组织应提供合法有效的证明文件。</w:t>
      </w:r>
    </w:p>
    <w:p>
      <w:pPr>
        <w:pStyle w:val="null3"/>
      </w:pPr>
      <w:r>
        <w:rPr>
          <w:rFonts w:ascii="仿宋_GB2312" w:hAnsi="仿宋_GB2312" w:cs="仿宋_GB2312" w:eastAsia="仿宋_GB2312"/>
        </w:rPr>
        <w:t>2、法定代表人身份证明/法定代表人授权委托书：法定代表人身份证明/法定代表人授权委托书：法定代表人直接参加投标的，须提供法定代表人身份证明及其身份证复印件加盖供应商公章；法定代表人授权他人参加投标的，须提供法定代表人授权委托书（附法定代表人、被授权人身份证复印件加盖公章）。</w:t>
      </w:r>
    </w:p>
    <w:p>
      <w:pPr>
        <w:pStyle w:val="null3"/>
      </w:pPr>
      <w:r>
        <w:rPr>
          <w:rFonts w:ascii="仿宋_GB2312" w:hAnsi="仿宋_GB2312" w:cs="仿宋_GB2312" w:eastAsia="仿宋_GB2312"/>
        </w:rPr>
        <w:t>3、信誉要求：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4、本项目不接受联合体投标：本项目不接受联合体投标。</w:t>
      </w:r>
    </w:p>
    <w:p>
      <w:pPr>
        <w:pStyle w:val="null3"/>
      </w:pPr>
      <w:r>
        <w:rPr>
          <w:rFonts w:ascii="仿宋_GB2312" w:hAnsi="仿宋_GB2312" w:cs="仿宋_GB2312" w:eastAsia="仿宋_GB2312"/>
        </w:rPr>
        <w:t>5、财务状况报告：投标人2023年度或2024年度经审计的财务报表复印件(包括资产负债表、现金流量表、利润表)，或本年度基本开户银行出具的资信证明。供应商需在项目电子化交易系统中按要求上传相应证明文件并进行电子签章。</w:t>
      </w:r>
    </w:p>
    <w:p>
      <w:pPr>
        <w:pStyle w:val="null3"/>
      </w:pPr>
      <w:r>
        <w:rPr>
          <w:rFonts w:ascii="仿宋_GB2312" w:hAnsi="仿宋_GB2312" w:cs="仿宋_GB2312" w:eastAsia="仿宋_GB2312"/>
        </w:rPr>
        <w:t>6、社会保障资金缴纳证明：供应商提供开标前一年内任意一个月的社会保障资金缴存单据或社保机构开具的社会保险参保缴费情况证明，依法不需要缴纳社会保障资金的供应商应提供相关文件证明。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7、税收缴纳证明：供应商提供开标前一年内任意一个月的纳税证明或完税证明，纳税证明或完税证明上应有代收机构或税务机关的公章，依法免税的供应商应提供相关文件证明。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8、书面声明：提供参加政府采购活动前 3 年内在经营活动中没有重大违法记录的书面声明。</w:t>
      </w:r>
    </w:p>
    <w:p>
      <w:pPr>
        <w:pStyle w:val="null3"/>
      </w:pPr>
      <w:r>
        <w:rPr>
          <w:rFonts w:ascii="仿宋_GB2312" w:hAnsi="仿宋_GB2312" w:cs="仿宋_GB2312" w:eastAsia="仿宋_GB2312"/>
        </w:rPr>
        <w:t>9、本采购包专门面向中小企业：参与的供应商（联合体）服务全部由符合政策要求的小微企业承接，监狱企业或残疾人福利性单位视为小微企业。</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铜川市耀州区文营西路31号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091-96281083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武佳宁、张静、陈定彩、朱媛媛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15234376131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采购包1：2,661,560.00元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价格【2002】1980号文件《招标代理服务收费管理暂行办法》、国家发展和改革委员会办公厅颁发的《关于招标代理服务费收费有关问题的通知》、《调整后的招标代理服务收费标准》（发改价格【2011】534号）文件规定，本项目采购代理服务费为人民币贰万肆仟伍佰元整（￥24500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铜川市耀州区住房和城乡建设局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铜川市耀州区住房和城乡建设局</w:t>
      </w:r>
      <w:r>
        <w:rPr>
          <w:rFonts w:ascii="仿宋_GB2312" w:hAnsi="仿宋_GB2312" w:cs="仿宋_GB2312" w:eastAsia="仿宋_GB2312"/>
        </w:rPr>
        <w:t>负责解释。除上述招标文件内容，其他内容由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符合国家相关服务类项目验收考核标准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联系人：武佳宁</w:t>
      </w:r>
    </w:p>
    <w:p>
      <w:pPr>
        <w:pStyle w:val="null3"/>
      </w:pPr>
      <w:r>
        <w:rPr>
          <w:rFonts w:ascii="仿宋_GB2312" w:hAnsi="仿宋_GB2312" w:cs="仿宋_GB2312" w:eastAsia="仿宋_GB2312"/>
        </w:rPr>
        <w:t>联系电话：15234376131</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耀州区城区路灯管护政府购买服务项目：为了加强城市道路照明设施管理，保证城市道路照明设施完好，促进耀州区现代化建设，对铜川市耀州区路灯设施进行维护管理，并对部分路灯实施改造，其中包括功能照明共3061杆4179盏(其中LED灯3912盏)景观照明627盏，高压钠灯光源逐步更换(更换光源功率62750W)。</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2,661,560.00</w:t>
      </w:r>
    </w:p>
    <w:p>
      <w:pPr>
        <w:pStyle w:val="null3"/>
      </w:pPr>
      <w:r>
        <w:rPr>
          <w:rFonts w:ascii="仿宋_GB2312" w:hAnsi="仿宋_GB2312" w:cs="仿宋_GB2312" w:eastAsia="仿宋_GB2312"/>
        </w:rPr>
        <w:t>采购包最高限价（元）: 2,661,560.00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2661560.00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2,661,560.00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标的名称：2661560.00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项目概况</w:t>
            </w:r>
          </w:p>
          <w:p>
            <w:pPr>
              <w:pStyle w:val="null3"/>
              <w:ind w:firstLine="48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为了加强城市道路照明设施管理，保证城市道路照明设施完好，促进耀州区现代化建设，对铜川市耀州区路灯设施进行维护管理，并对部分路灯实施改造，其中包括功能照明共</w:t>
            </w:r>
            <w:r>
              <w:rPr>
                <w:rFonts w:ascii="仿宋_GB2312" w:hAnsi="仿宋_GB2312" w:cs="仿宋_GB2312" w:eastAsia="仿宋_GB2312"/>
                <w:sz w:val="24"/>
                <w:color w:val="000000"/>
              </w:rPr>
              <w:t>3061杆4179盏(其中LED灯3912盏)景观照明627盏，高压钠灯光源逐步更换(更换光源功率62750</w:t>
            </w:r>
            <w:r>
              <w:rPr>
                <w:rFonts w:ascii="仿宋_GB2312" w:hAnsi="仿宋_GB2312" w:cs="仿宋_GB2312" w:eastAsia="仿宋_GB2312"/>
                <w:sz w:val="24"/>
                <w:color w:val="000000"/>
              </w:rPr>
              <w:t>W</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执行标准及目标</w:t>
            </w:r>
          </w:p>
          <w:p>
            <w:pPr>
              <w:pStyle w:val="null3"/>
              <w:ind w:firstLine="480"/>
              <w:jc w:val="left"/>
            </w:pPr>
            <w:r>
              <w:rPr>
                <w:rFonts w:ascii="仿宋_GB2312" w:hAnsi="仿宋_GB2312" w:cs="仿宋_GB2312" w:eastAsia="仿宋_GB2312"/>
                <w:sz w:val="24"/>
                <w:color w:val="000000"/>
              </w:rPr>
              <w:t>执行《基础设施和公用事业特许经营管理办法》</w:t>
            </w:r>
            <w:r>
              <w:rPr>
                <w:rFonts w:ascii="仿宋_GB2312" w:hAnsi="仿宋_GB2312" w:cs="仿宋_GB2312" w:eastAsia="仿宋_GB2312"/>
                <w:sz w:val="24"/>
                <w:color w:val="000000"/>
              </w:rPr>
              <w:t>(2024年第17号令)、《城市照明管理规定》(2010年5月27日中华人民共和国住房和城乡建设部令第4号发布)，同时符合国家级行业标准要求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主要功能或目标</w:t>
            </w:r>
            <w:r>
              <w:rPr>
                <w:rFonts w:ascii="仿宋_GB2312" w:hAnsi="仿宋_GB2312" w:cs="仿宋_GB2312" w:eastAsia="仿宋_GB2312"/>
                <w:sz w:val="24"/>
                <w:color w:val="000000"/>
              </w:rPr>
              <w:t>：</w:t>
            </w:r>
            <w:r>
              <w:rPr>
                <w:rFonts w:ascii="仿宋_GB2312" w:hAnsi="仿宋_GB2312" w:cs="仿宋_GB2312" w:eastAsia="仿宋_GB2312"/>
                <w:sz w:val="24"/>
                <w:color w:val="000000"/>
              </w:rPr>
              <w:t>保证铜川市耀州区市政道路路灯照明设施正常运转。</w:t>
            </w:r>
          </w:p>
          <w:p>
            <w:pPr>
              <w:pStyle w:val="null3"/>
              <w:numPr>
                <w:ilvl w:val="0"/>
                <w:numId w:val="1"/>
              </w:numPr>
              <w:jc w:val="left"/>
            </w:pPr>
            <w:r>
              <w:rPr>
                <w:rFonts w:ascii="仿宋_GB2312" w:hAnsi="仿宋_GB2312" w:cs="仿宋_GB2312" w:eastAsia="仿宋_GB2312"/>
                <w:sz w:val="24"/>
                <w:b/>
                <w:color w:val="000000"/>
              </w:rPr>
              <w:t>运营管理要求</w:t>
            </w:r>
          </w:p>
          <w:p>
            <w:pPr>
              <w:pStyle w:val="null3"/>
              <w:ind w:firstLine="480"/>
              <w:jc w:val="left"/>
            </w:pPr>
            <w:r>
              <w:rPr>
                <w:rFonts w:ascii="仿宋_GB2312" w:hAnsi="仿宋_GB2312" w:cs="仿宋_GB2312" w:eastAsia="仿宋_GB2312"/>
                <w:sz w:val="24"/>
                <w:color w:val="000000"/>
              </w:rPr>
              <w:t>市政道路照明设施维护根据《城市照明管理规定》等相关规定，提出以下要求：</w:t>
            </w:r>
          </w:p>
          <w:p>
            <w:pPr>
              <w:pStyle w:val="null3"/>
              <w:ind w:firstLine="480"/>
              <w:jc w:val="left"/>
            </w:pPr>
            <w:r>
              <w:rPr>
                <w:rFonts w:ascii="仿宋_GB2312" w:hAnsi="仿宋_GB2312" w:cs="仿宋_GB2312" w:eastAsia="仿宋_GB2312"/>
                <w:sz w:val="24"/>
                <w:color w:val="000000"/>
              </w:rPr>
              <w:t>1、运营目标</w:t>
            </w:r>
          </w:p>
          <w:p>
            <w:pPr>
              <w:pStyle w:val="null3"/>
              <w:ind w:firstLine="480"/>
              <w:jc w:val="left"/>
            </w:pPr>
            <w:r>
              <w:rPr>
                <w:rFonts w:ascii="仿宋_GB2312" w:hAnsi="仿宋_GB2312" w:cs="仿宋_GB2312" w:eastAsia="仿宋_GB2312"/>
                <w:sz w:val="24"/>
                <w:color w:val="000000"/>
              </w:rPr>
              <w:t>1.1亮灯率功能：照明亮灯率达到95%以上，确保夜间道路的照明充足。</w:t>
            </w:r>
          </w:p>
          <w:p>
            <w:pPr>
              <w:pStyle w:val="null3"/>
              <w:ind w:firstLine="480"/>
              <w:jc w:val="left"/>
            </w:pPr>
            <w:r>
              <w:rPr>
                <w:rFonts w:ascii="仿宋_GB2312" w:hAnsi="仿宋_GB2312" w:cs="仿宋_GB2312" w:eastAsia="仿宋_GB2312"/>
                <w:sz w:val="24"/>
                <w:color w:val="000000"/>
              </w:rPr>
              <w:t>1.2设施完好率：设施完好率也应保持在较高水平，以减少因设施损坏导致的安全隐患。</w:t>
            </w:r>
          </w:p>
          <w:p>
            <w:pPr>
              <w:pStyle w:val="null3"/>
              <w:ind w:firstLine="480"/>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故障维修及时率：对出现的故障应迅速响应并及时维修确保照明设施的正常运行。</w:t>
            </w:r>
          </w:p>
          <w:p>
            <w:pPr>
              <w:pStyle w:val="null3"/>
              <w:ind w:firstLine="480"/>
              <w:jc w:val="left"/>
            </w:pPr>
            <w:r>
              <w:rPr>
                <w:rFonts w:ascii="仿宋_GB2312" w:hAnsi="仿宋_GB2312" w:cs="仿宋_GB2312" w:eastAsia="仿宋_GB2312"/>
                <w:sz w:val="24"/>
                <w:color w:val="000000"/>
              </w:rPr>
              <w:t>1.4定期巡视：每周对照明设施进行两次全面巡视，发现问题及时处理</w:t>
            </w:r>
          </w:p>
          <w:p>
            <w:pPr>
              <w:pStyle w:val="null3"/>
              <w:ind w:firstLine="480"/>
              <w:jc w:val="left"/>
            </w:pPr>
            <w:r>
              <w:rPr>
                <w:rFonts w:ascii="仿宋_GB2312" w:hAnsi="仿宋_GB2312" w:cs="仿宋_GB2312" w:eastAsia="仿宋_GB2312"/>
                <w:sz w:val="24"/>
                <w:color w:val="000000"/>
              </w:rPr>
              <w:t>1.5定期清洁：每月对灯具进行清洁，保持光线明亮。</w:t>
            </w:r>
          </w:p>
          <w:p>
            <w:pPr>
              <w:pStyle w:val="null3"/>
              <w:ind w:firstLine="480"/>
              <w:jc w:val="left"/>
            </w:pPr>
            <w:r>
              <w:rPr>
                <w:rFonts w:ascii="仿宋_GB2312" w:hAnsi="仿宋_GB2312" w:cs="仿宋_GB2312" w:eastAsia="仿宋_GB2312"/>
                <w:sz w:val="24"/>
                <w:color w:val="000000"/>
              </w:rPr>
              <w:t>1.6定期更换：根据灯具的使用寿命和实际情况，定期更换老化灯管和灯泡。</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运营管理时限：自合同签订后一年。</w:t>
            </w:r>
          </w:p>
          <w:p>
            <w:pPr>
              <w:pStyle w:val="null3"/>
              <w:ind w:firstLine="480"/>
              <w:jc w:val="left"/>
            </w:pPr>
            <w:r>
              <w:rPr>
                <w:rFonts w:ascii="仿宋_GB2312" w:hAnsi="仿宋_GB2312" w:cs="仿宋_GB2312" w:eastAsia="仿宋_GB2312"/>
                <w:sz w:val="24"/>
                <w:color w:val="000000"/>
              </w:rPr>
              <w:t>3、人员管理</w:t>
            </w:r>
          </w:p>
          <w:p>
            <w:pPr>
              <w:pStyle w:val="null3"/>
              <w:ind w:firstLine="480"/>
              <w:jc w:val="left"/>
            </w:pPr>
            <w:r>
              <w:rPr>
                <w:rFonts w:ascii="仿宋_GB2312" w:hAnsi="仿宋_GB2312" w:cs="仿宋_GB2312" w:eastAsia="仿宋_GB2312"/>
                <w:sz w:val="24"/>
                <w:color w:val="000000"/>
              </w:rPr>
              <w:t>3.1现场特种作业人员必须持上岗证作业，各工序施工中要有严格的安全技术交底。</w:t>
            </w:r>
          </w:p>
          <w:p>
            <w:pPr>
              <w:pStyle w:val="null3"/>
              <w:ind w:firstLine="480"/>
              <w:jc w:val="left"/>
            </w:pPr>
            <w:r>
              <w:rPr>
                <w:rFonts w:ascii="仿宋_GB2312" w:hAnsi="仿宋_GB2312" w:cs="仿宋_GB2312" w:eastAsia="仿宋_GB2312"/>
                <w:sz w:val="24"/>
                <w:color w:val="000000"/>
              </w:rPr>
              <w:t>3.2建立电器安全管理和经济责任制度。</w:t>
            </w:r>
          </w:p>
          <w:p>
            <w:pPr>
              <w:pStyle w:val="null3"/>
              <w:ind w:firstLine="480"/>
              <w:jc w:val="left"/>
            </w:pPr>
            <w:r>
              <w:rPr>
                <w:rFonts w:ascii="仿宋_GB2312" w:hAnsi="仿宋_GB2312" w:cs="仿宋_GB2312" w:eastAsia="仿宋_GB2312"/>
                <w:sz w:val="24"/>
                <w:color w:val="000000"/>
              </w:rPr>
              <w:t>3.3由专业人员编制施工用电组织设计、供电方式、配电装置的设置及其配电容量，供配电线路的走向和现场照明的设置及生活设施的用电负荷情况，编制有针对性的电器安全技术规范。</w:t>
            </w:r>
          </w:p>
          <w:p>
            <w:pPr>
              <w:pStyle w:val="null3"/>
              <w:ind w:firstLine="480"/>
              <w:jc w:val="left"/>
            </w:pPr>
            <w:r>
              <w:rPr>
                <w:rFonts w:ascii="仿宋_GB2312" w:hAnsi="仿宋_GB2312" w:cs="仿宋_GB2312" w:eastAsia="仿宋_GB2312"/>
                <w:sz w:val="24"/>
                <w:color w:val="000000"/>
              </w:rPr>
              <w:t>3.4施工现场装备行业统一规定的标准电源箱。电器线路和用电设备安装完成后，由专业管理部门验收合格后方可运行操作。</w:t>
            </w:r>
          </w:p>
          <w:p>
            <w:pPr>
              <w:pStyle w:val="null3"/>
              <w:ind w:firstLine="480"/>
              <w:jc w:val="left"/>
            </w:pPr>
            <w:r>
              <w:rPr>
                <w:rFonts w:ascii="仿宋_GB2312" w:hAnsi="仿宋_GB2312" w:cs="仿宋_GB2312" w:eastAsia="仿宋_GB2312"/>
                <w:sz w:val="24"/>
                <w:color w:val="000000"/>
              </w:rPr>
              <w:t>3.5经常对用设备用电设备进行安全检查、测试，发现问题，及时整改。</w:t>
            </w:r>
          </w:p>
          <w:p>
            <w:pPr>
              <w:pStyle w:val="null3"/>
              <w:ind w:firstLine="480"/>
              <w:jc w:val="left"/>
            </w:pPr>
            <w:r>
              <w:rPr>
                <w:rFonts w:ascii="仿宋_GB2312" w:hAnsi="仿宋_GB2312" w:cs="仿宋_GB2312" w:eastAsia="仿宋_GB2312"/>
                <w:sz w:val="24"/>
                <w:color w:val="000000"/>
              </w:rPr>
              <w:t>3.6机械设备操作人员(或驾驶员)经过专门训练，经考试取得操作证或驾驶执照后方可上机(车)。</w:t>
            </w:r>
          </w:p>
          <w:p>
            <w:pPr>
              <w:pStyle w:val="null3"/>
              <w:ind w:firstLine="480"/>
              <w:jc w:val="left"/>
            </w:pPr>
            <w:r>
              <w:rPr>
                <w:rFonts w:ascii="仿宋_GB2312" w:hAnsi="仿宋_GB2312" w:cs="仿宋_GB2312" w:eastAsia="仿宋_GB2312"/>
                <w:sz w:val="24"/>
                <w:color w:val="000000"/>
              </w:rPr>
              <w:t>3.7操作人员和指挥人员严格遵守安全操作技术规程，认真工作，严格贯彻岗位制度。</w:t>
            </w:r>
          </w:p>
          <w:p>
            <w:pPr>
              <w:pStyle w:val="null3"/>
              <w:ind w:firstLine="480"/>
              <w:jc w:val="left"/>
            </w:pPr>
            <w:r>
              <w:rPr>
                <w:rFonts w:ascii="仿宋_GB2312" w:hAnsi="仿宋_GB2312" w:cs="仿宋_GB2312" w:eastAsia="仿宋_GB2312"/>
                <w:sz w:val="24"/>
                <w:color w:val="000000"/>
              </w:rPr>
              <w:t>3.8机械设备发生故障后及时检修，严禁带故障运行。</w:t>
            </w:r>
          </w:p>
          <w:p>
            <w:pPr>
              <w:pStyle w:val="null3"/>
              <w:ind w:firstLine="480"/>
              <w:jc w:val="left"/>
            </w:pPr>
            <w:r>
              <w:rPr>
                <w:rFonts w:ascii="仿宋_GB2312" w:hAnsi="仿宋_GB2312" w:cs="仿宋_GB2312" w:eastAsia="仿宋_GB2312"/>
                <w:sz w:val="24"/>
                <w:color w:val="000000"/>
              </w:rPr>
              <w:t>3.9物资部统一对物资进行管理，按照材料的储存要求修建具备相应功能的仓库，做到分门别类储放。</w:t>
            </w:r>
          </w:p>
          <w:p>
            <w:pPr>
              <w:pStyle w:val="null3"/>
              <w:ind w:firstLine="480"/>
              <w:jc w:val="left"/>
            </w:pPr>
            <w:r>
              <w:rPr>
                <w:rFonts w:ascii="仿宋_GB2312" w:hAnsi="仿宋_GB2312" w:cs="仿宋_GB2312" w:eastAsia="仿宋_GB2312"/>
                <w:sz w:val="24"/>
                <w:color w:val="000000"/>
              </w:rPr>
              <w:t>3.10仓库设专人负责保管、看护，值班室内设报警系统，随时与派出所和消防部门取得联系</w:t>
            </w:r>
          </w:p>
          <w:p>
            <w:pPr>
              <w:pStyle w:val="null3"/>
              <w:ind w:firstLine="480"/>
              <w:jc w:val="left"/>
            </w:pPr>
            <w:r>
              <w:rPr>
                <w:rFonts w:ascii="仿宋_GB2312" w:hAnsi="仿宋_GB2312" w:cs="仿宋_GB2312" w:eastAsia="仿宋_GB2312"/>
                <w:sz w:val="24"/>
                <w:color w:val="000000"/>
              </w:rPr>
              <w:t>3.11技术人员做好施工图纸的审查、会审，参加设计交底及图纸会审。</w:t>
            </w:r>
          </w:p>
          <w:p>
            <w:pPr>
              <w:pStyle w:val="null3"/>
              <w:ind w:firstLine="480"/>
              <w:jc w:val="left"/>
            </w:pPr>
            <w:r>
              <w:rPr>
                <w:rFonts w:ascii="仿宋_GB2312" w:hAnsi="仿宋_GB2312" w:cs="仿宋_GB2312" w:eastAsia="仿宋_GB2312"/>
                <w:sz w:val="24"/>
                <w:color w:val="000000"/>
              </w:rPr>
              <w:t>3.12施工过程中采用动态管理，发现问题点及时更正，以此循环。从而提高工程的质量。</w:t>
            </w:r>
          </w:p>
          <w:p>
            <w:pPr>
              <w:pStyle w:val="null3"/>
              <w:ind w:firstLine="480"/>
              <w:jc w:val="left"/>
            </w:pPr>
            <w:r>
              <w:rPr>
                <w:rFonts w:ascii="仿宋_GB2312" w:hAnsi="仿宋_GB2312" w:cs="仿宋_GB2312" w:eastAsia="仿宋_GB2312"/>
                <w:sz w:val="24"/>
                <w:color w:val="000000"/>
              </w:rPr>
              <w:t>4、工艺管理</w:t>
            </w:r>
          </w:p>
          <w:p>
            <w:pPr>
              <w:pStyle w:val="null3"/>
              <w:ind w:firstLine="480"/>
              <w:jc w:val="left"/>
            </w:pPr>
            <w:r>
              <w:rPr>
                <w:rFonts w:ascii="仿宋_GB2312" w:hAnsi="仿宋_GB2312" w:cs="仿宋_GB2312" w:eastAsia="仿宋_GB2312"/>
                <w:sz w:val="24"/>
                <w:color w:val="000000"/>
              </w:rPr>
              <w:t>4.1定制计划：根据市政道路照明设施的实际情况和运行需求，制定详细的维护运营计划，包括巡检计划、清洁保养计划、维修更新计划等。</w:t>
            </w:r>
          </w:p>
          <w:p>
            <w:pPr>
              <w:pStyle w:val="null3"/>
              <w:ind w:firstLine="480"/>
              <w:jc w:val="left"/>
            </w:pPr>
            <w:r>
              <w:rPr>
                <w:rFonts w:ascii="仿宋_GB2312" w:hAnsi="仿宋_GB2312" w:cs="仿宋_GB2312" w:eastAsia="仿宋_GB2312"/>
                <w:sz w:val="24"/>
                <w:color w:val="000000"/>
              </w:rPr>
              <w:t>4.2组织实施：按照定制的计划组织专业人员进行实施。在实施过程中，应严格按照规定工序和标准进行，确保维护运营工作的质量。</w:t>
            </w:r>
          </w:p>
          <w:p>
            <w:pPr>
              <w:pStyle w:val="null3"/>
              <w:ind w:firstLine="480"/>
              <w:jc w:val="left"/>
            </w:pPr>
            <w:r>
              <w:rPr>
                <w:rFonts w:ascii="仿宋_GB2312" w:hAnsi="仿宋_GB2312" w:cs="仿宋_GB2312" w:eastAsia="仿宋_GB2312"/>
                <w:sz w:val="24"/>
                <w:color w:val="000000"/>
              </w:rPr>
              <w:t>4.3监督评估：加强对市政道路照明设施维护运营工作的监督和管理，定期对维护运营效果进行评估。根据评估结果，及时调整和改进维护运营方案，提高工作效率和质量。</w:t>
            </w:r>
          </w:p>
          <w:p>
            <w:pPr>
              <w:pStyle w:val="null3"/>
              <w:ind w:firstLine="480"/>
              <w:jc w:val="left"/>
            </w:pPr>
            <w:r>
              <w:rPr>
                <w:rFonts w:ascii="仿宋_GB2312" w:hAnsi="仿宋_GB2312" w:cs="仿宋_GB2312" w:eastAsia="仿宋_GB2312"/>
                <w:sz w:val="24"/>
                <w:color w:val="000000"/>
              </w:rPr>
              <w:t>5、日常维护</w:t>
            </w:r>
          </w:p>
          <w:p>
            <w:pPr>
              <w:pStyle w:val="null3"/>
              <w:ind w:firstLine="480"/>
              <w:jc w:val="left"/>
            </w:pPr>
            <w:r>
              <w:rPr>
                <w:rFonts w:ascii="仿宋_GB2312" w:hAnsi="仿宋_GB2312" w:cs="仿宋_GB2312" w:eastAsia="仿宋_GB2312"/>
                <w:sz w:val="24"/>
                <w:color w:val="000000"/>
              </w:rPr>
              <w:t>5.1每周两次进行巡检，记录设备完好情况及运行状态，如实填写照明设备巡查记录表，注意运行状态的变化，对于新发现的情况及时更新。</w:t>
            </w:r>
          </w:p>
          <w:p>
            <w:pPr>
              <w:pStyle w:val="null3"/>
              <w:ind w:firstLine="480"/>
              <w:jc w:val="left"/>
            </w:pPr>
            <w:r>
              <w:rPr>
                <w:rFonts w:ascii="仿宋_GB2312" w:hAnsi="仿宋_GB2312" w:cs="仿宋_GB2312" w:eastAsia="仿宋_GB2312"/>
                <w:sz w:val="24"/>
                <w:color w:val="000000"/>
              </w:rPr>
              <w:t>5.2定期维护和试验</w:t>
            </w:r>
          </w:p>
          <w:p>
            <w:pPr>
              <w:pStyle w:val="null3"/>
              <w:ind w:firstLine="480"/>
              <w:jc w:val="left"/>
            </w:pPr>
            <w:r>
              <w:rPr>
                <w:rFonts w:ascii="仿宋_GB2312" w:hAnsi="仿宋_GB2312" w:cs="仿宋_GB2312" w:eastAsia="仿宋_GB2312"/>
                <w:sz w:val="24"/>
                <w:color w:val="000000"/>
              </w:rPr>
              <w:t>1)每周对配电箱检查，检查箱体、箱门有否受损，检查箱内各开关接头及电器是否良好，各电缆连接是否良好。</w:t>
            </w:r>
          </w:p>
          <w:p>
            <w:pPr>
              <w:pStyle w:val="null3"/>
              <w:ind w:firstLine="480"/>
              <w:jc w:val="left"/>
            </w:pPr>
            <w:r>
              <w:rPr>
                <w:rFonts w:ascii="仿宋_GB2312" w:hAnsi="仿宋_GB2312" w:cs="仿宋_GB2312" w:eastAsia="仿宋_GB2312"/>
                <w:sz w:val="24"/>
                <w:color w:val="000000"/>
              </w:rPr>
              <w:t>2)路灯照明、路灯的巡查检修为每周2次，每周对配电箱检查一次，每半年或每次修灯对灯具清扫一次，每半年内对接线端子紧固一次。</w:t>
            </w:r>
          </w:p>
          <w:p>
            <w:pPr>
              <w:pStyle w:val="null3"/>
              <w:ind w:firstLine="480"/>
              <w:jc w:val="left"/>
            </w:pPr>
            <w:r>
              <w:rPr>
                <w:rFonts w:ascii="仿宋_GB2312" w:hAnsi="仿宋_GB2312" w:cs="仿宋_GB2312" w:eastAsia="仿宋_GB2312"/>
                <w:sz w:val="24"/>
                <w:color w:val="000000"/>
              </w:rPr>
              <w:t>5.3不定期维护</w:t>
            </w:r>
          </w:p>
          <w:p>
            <w:pPr>
              <w:pStyle w:val="null3"/>
              <w:ind w:firstLine="480"/>
              <w:jc w:val="left"/>
            </w:pPr>
            <w:r>
              <w:rPr>
                <w:rFonts w:ascii="仿宋_GB2312" w:hAnsi="仿宋_GB2312" w:cs="仿宋_GB2312" w:eastAsia="仿宋_GB2312"/>
                <w:sz w:val="24"/>
                <w:color w:val="000000"/>
              </w:rPr>
              <w:t>(1)只要出现照明灯具不亮，不管发生在什么时间及时处理组、织抢修尽快恢复正常。</w:t>
            </w:r>
          </w:p>
          <w:p>
            <w:pPr>
              <w:pStyle w:val="null3"/>
              <w:ind w:firstLine="480"/>
              <w:jc w:val="left"/>
            </w:pPr>
            <w:r>
              <w:rPr>
                <w:rFonts w:ascii="仿宋_GB2312" w:hAnsi="仿宋_GB2312" w:cs="仿宋_GB2312" w:eastAsia="仿宋_GB2312"/>
                <w:sz w:val="24"/>
                <w:color w:val="000000"/>
              </w:rPr>
              <w:t>(2)固定或重大节日、遇有异常自然条件(洪涝台风暴雨和强烈地震等)、人为破坏进行特殊巡查检修。</w:t>
            </w:r>
          </w:p>
          <w:p>
            <w:pPr>
              <w:pStyle w:val="null3"/>
              <w:ind w:firstLine="480"/>
              <w:jc w:val="left"/>
            </w:pPr>
            <w:r>
              <w:rPr>
                <w:rFonts w:ascii="仿宋_GB2312" w:hAnsi="仿宋_GB2312" w:cs="仿宋_GB2312" w:eastAsia="仿宋_GB2312"/>
                <w:sz w:val="24"/>
                <w:color w:val="000000"/>
              </w:rPr>
              <w:t>(3)成立24小时应急小组，设备发生故障时,急修服务尽快赶到现场，对于故障设备，在恢复设备运行之前，应急小组人员未经允许不得擅自离场，确保所维护设备的安全平稳长期运行。</w:t>
            </w:r>
          </w:p>
          <w:p>
            <w:pPr>
              <w:pStyle w:val="null3"/>
              <w:ind w:firstLine="480"/>
              <w:jc w:val="left"/>
            </w:pPr>
            <w:r>
              <w:rPr>
                <w:rFonts w:ascii="仿宋_GB2312" w:hAnsi="仿宋_GB2312" w:cs="仿宋_GB2312" w:eastAsia="仿宋_GB2312"/>
                <w:sz w:val="24"/>
                <w:color w:val="000000"/>
              </w:rPr>
              <w:t>6、灯具更换及安装</w:t>
            </w:r>
          </w:p>
          <w:p>
            <w:pPr>
              <w:pStyle w:val="null3"/>
              <w:ind w:firstLine="480"/>
              <w:jc w:val="left"/>
            </w:pPr>
            <w:r>
              <w:rPr>
                <w:rFonts w:ascii="仿宋_GB2312" w:hAnsi="仿宋_GB2312" w:cs="仿宋_GB2312" w:eastAsia="仿宋_GB2312"/>
                <w:sz w:val="24"/>
                <w:color w:val="000000"/>
              </w:rPr>
              <w:t>6.1根据装箱单清点灯具及安装配件是否符合设计要求、灯具外观是否正常、有无损坏或缺陷，有关技术文件是否齐全等。</w:t>
            </w:r>
          </w:p>
          <w:p>
            <w:pPr>
              <w:pStyle w:val="null3"/>
              <w:ind w:firstLine="480"/>
              <w:jc w:val="left"/>
            </w:pPr>
            <w:r>
              <w:rPr>
                <w:rFonts w:ascii="仿宋_GB2312" w:hAnsi="仿宋_GB2312" w:cs="仿宋_GB2312" w:eastAsia="仿宋_GB2312"/>
                <w:sz w:val="24"/>
                <w:color w:val="000000"/>
              </w:rPr>
              <w:t>6.2灯杆采用优质Q235钢板经模压成型，灯杆表面热镀锌处理后表面涂装;灯杆壁厚&gt;4mm。</w:t>
            </w:r>
          </w:p>
          <w:p>
            <w:pPr>
              <w:pStyle w:val="null3"/>
              <w:ind w:firstLine="480"/>
              <w:jc w:val="left"/>
            </w:pPr>
            <w:r>
              <w:rPr>
                <w:rFonts w:ascii="仿宋_GB2312" w:hAnsi="仿宋_GB2312" w:cs="仿宋_GB2312" w:eastAsia="仿宋_GB2312"/>
                <w:sz w:val="24"/>
                <w:color w:val="000000"/>
              </w:rPr>
              <w:t>6.3当基础完成并达到强度要求后，即可进行路灯灯杆的安装</w:t>
            </w:r>
          </w:p>
          <w:p>
            <w:pPr>
              <w:pStyle w:val="null3"/>
              <w:ind w:firstLine="480"/>
              <w:jc w:val="left"/>
            </w:pPr>
            <w:r>
              <w:rPr>
                <w:rFonts w:ascii="仿宋_GB2312" w:hAnsi="仿宋_GB2312" w:cs="仿宋_GB2312" w:eastAsia="仿宋_GB2312"/>
                <w:sz w:val="24"/>
                <w:color w:val="000000"/>
              </w:rPr>
              <w:t>(1)灯杆吊装时，在绑扎处应采取措施，防止钢索擦伤灯杆表面油漆或喷塑防腐装饰层。</w:t>
            </w:r>
          </w:p>
          <w:p>
            <w:pPr>
              <w:pStyle w:val="null3"/>
              <w:ind w:firstLine="480"/>
              <w:jc w:val="left"/>
            </w:pPr>
            <w:r>
              <w:rPr>
                <w:rFonts w:ascii="仿宋_GB2312" w:hAnsi="仿宋_GB2312" w:cs="仿宋_GB2312" w:eastAsia="仿宋_GB2312"/>
                <w:sz w:val="24"/>
                <w:color w:val="000000"/>
              </w:rPr>
              <w:t>(2)灯杆垂直偏差应小于半个杆梢，直线路段单、双挑灯排列成一直线时，灯杆横向位置偏移应小于半个杆根。</w:t>
            </w:r>
          </w:p>
          <w:p>
            <w:pPr>
              <w:pStyle w:val="null3"/>
              <w:ind w:firstLine="480"/>
              <w:jc w:val="left"/>
            </w:pPr>
            <w:r>
              <w:rPr>
                <w:rFonts w:ascii="仿宋_GB2312" w:hAnsi="仿宋_GB2312" w:cs="仿宋_GB2312" w:eastAsia="仿宋_GB2312"/>
                <w:sz w:val="24"/>
                <w:color w:val="000000"/>
              </w:rPr>
              <w:t>(3)灯杆安装时接线箱孔朝向应一致，面朝向人行道侧。</w:t>
            </w:r>
          </w:p>
          <w:p>
            <w:pPr>
              <w:pStyle w:val="null3"/>
              <w:ind w:firstLine="480"/>
              <w:jc w:val="left"/>
            </w:pPr>
            <w:r>
              <w:rPr>
                <w:rFonts w:ascii="仿宋_GB2312" w:hAnsi="仿宋_GB2312" w:cs="仿宋_GB2312" w:eastAsia="仿宋_GB2312"/>
                <w:sz w:val="24"/>
                <w:color w:val="000000"/>
              </w:rPr>
              <w:t>(4)灯臂应固定牢固，与道路纵向垂直度偏差不应大于3度。</w:t>
            </w:r>
          </w:p>
          <w:p>
            <w:pPr>
              <w:pStyle w:val="null3"/>
              <w:ind w:firstLine="480"/>
              <w:jc w:val="left"/>
            </w:pPr>
            <w:r>
              <w:rPr>
                <w:rFonts w:ascii="仿宋_GB2312" w:hAnsi="仿宋_GB2312" w:cs="仿宋_GB2312" w:eastAsia="仿宋_GB2312"/>
                <w:sz w:val="24"/>
                <w:color w:val="000000"/>
              </w:rPr>
              <w:t>6.4灯具安装</w:t>
            </w:r>
          </w:p>
          <w:p>
            <w:pPr>
              <w:pStyle w:val="null3"/>
              <w:ind w:firstLine="480"/>
              <w:jc w:val="left"/>
            </w:pPr>
            <w:r>
              <w:rPr>
                <w:rFonts w:ascii="仿宋_GB2312" w:hAnsi="仿宋_GB2312" w:cs="仿宋_GB2312" w:eastAsia="仿宋_GB2312"/>
                <w:sz w:val="24"/>
                <w:color w:val="000000"/>
              </w:rPr>
              <w:t>(1)由于路灯整体高度较高，拟采用升降车进行灯具安装。</w:t>
            </w:r>
          </w:p>
          <w:p>
            <w:pPr>
              <w:pStyle w:val="null3"/>
              <w:ind w:firstLine="480"/>
              <w:jc w:val="left"/>
            </w:pPr>
            <w:r>
              <w:rPr>
                <w:rFonts w:ascii="仿宋_GB2312" w:hAnsi="仿宋_GB2312" w:cs="仿宋_GB2312" w:eastAsia="仿宋_GB2312"/>
                <w:sz w:val="24"/>
                <w:color w:val="000000"/>
              </w:rPr>
              <w:t>(2)灯具安装纵向中心线和灯臂纵向中心线应一致，灯具横向水平线应与地面平行，紧固后目测应无歪斜。</w:t>
            </w:r>
          </w:p>
          <w:p>
            <w:pPr>
              <w:pStyle w:val="null3"/>
              <w:ind w:firstLine="480"/>
              <w:jc w:val="left"/>
            </w:pPr>
            <w:r>
              <w:rPr>
                <w:rFonts w:ascii="仿宋_GB2312" w:hAnsi="仿宋_GB2312" w:cs="仿宋_GB2312" w:eastAsia="仿宋_GB2312"/>
                <w:sz w:val="24"/>
                <w:color w:val="000000"/>
              </w:rPr>
              <w:t>(3)灯头固定牢固，绝缘外壳无损伤、开裂，可调灯头应按设计调整至正确位置，灯头接线应符合下列规定：</w:t>
            </w:r>
          </w:p>
          <w:p>
            <w:pPr>
              <w:pStyle w:val="null3"/>
              <w:ind w:firstLine="480"/>
              <w:jc w:val="left"/>
            </w:pPr>
            <w:r>
              <w:rPr>
                <w:rFonts w:ascii="仿宋_GB2312" w:hAnsi="仿宋_GB2312" w:cs="仿宋_GB2312" w:eastAsia="仿宋_GB2312"/>
                <w:sz w:val="24"/>
                <w:color w:val="000000"/>
              </w:rPr>
              <w:t>①在灯臂、灯盘、灯杆内穿线不得有接头，穿线孔口或管口应光滑无毛刺，并应采用绝缘套管或包扎，包扎长度不得小于200mm。</w:t>
            </w:r>
          </w:p>
          <w:p>
            <w:pPr>
              <w:pStyle w:val="null3"/>
              <w:ind w:firstLine="480"/>
              <w:jc w:val="left"/>
            </w:pPr>
            <w:r>
              <w:rPr>
                <w:rFonts w:ascii="仿宋_GB2312" w:hAnsi="仿宋_GB2312" w:cs="仿宋_GB2312" w:eastAsia="仿宋_GB2312"/>
                <w:sz w:val="24"/>
                <w:color w:val="000000"/>
              </w:rPr>
              <w:t>②路灯安装使用的灯杆、灯臂、抱箍、螺栓、压板等金饷构件应进行热镀锌处理，防腐质量应符合现行国家标准的有关规定。</w:t>
            </w:r>
          </w:p>
          <w:p>
            <w:pPr>
              <w:pStyle w:val="null3"/>
              <w:ind w:firstLine="480"/>
              <w:jc w:val="left"/>
            </w:pPr>
            <w:r>
              <w:rPr>
                <w:rFonts w:ascii="仿宋_GB2312" w:hAnsi="仿宋_GB2312" w:cs="仿宋_GB2312" w:eastAsia="仿宋_GB2312"/>
                <w:sz w:val="24"/>
                <w:color w:val="000000"/>
              </w:rPr>
              <w:t>③各种螺母紧固，宜加垫片和弹簧垫。紧固后露出螺栓不得少于两个螺距。</w:t>
            </w:r>
          </w:p>
          <w:p>
            <w:pPr>
              <w:pStyle w:val="null3"/>
              <w:ind w:firstLine="480"/>
              <w:jc w:val="left"/>
            </w:pPr>
            <w:r>
              <w:rPr>
                <w:rFonts w:ascii="仿宋_GB2312" w:hAnsi="仿宋_GB2312" w:cs="仿宋_GB2312" w:eastAsia="仿宋_GB2312"/>
                <w:sz w:val="24"/>
                <w:color w:val="000000"/>
              </w:rPr>
              <w:t>(4)灯的相线装设熔断器，熔断器固定牢靠，接线端子上线头弯曲方向为顺时针方向盘并用垫圈压紧，熔断器上端接进线，下端接出线。</w:t>
            </w:r>
          </w:p>
          <w:p>
            <w:pPr>
              <w:pStyle w:val="null3"/>
              <w:ind w:firstLine="480"/>
              <w:jc w:val="left"/>
            </w:pPr>
            <w:r>
              <w:rPr>
                <w:rFonts w:ascii="仿宋_GB2312" w:hAnsi="仿宋_GB2312" w:cs="仿宋_GB2312" w:eastAsia="仿宋_GB2312"/>
                <w:sz w:val="24"/>
                <w:color w:val="000000"/>
              </w:rPr>
              <w:t>(5)灯具引下线需用支架固定，且松紧一致。</w:t>
            </w:r>
          </w:p>
          <w:p>
            <w:pPr>
              <w:pStyle w:val="null3"/>
              <w:ind w:firstLine="480"/>
              <w:jc w:val="left"/>
            </w:pPr>
            <w:r>
              <w:rPr>
                <w:rFonts w:ascii="仿宋_GB2312" w:hAnsi="仿宋_GB2312" w:cs="仿宋_GB2312" w:eastAsia="仿宋_GB2312"/>
                <w:sz w:val="24"/>
                <w:color w:val="000000"/>
              </w:rPr>
              <w:t>灯具安装结束后及时进行接线工作，然后进行单灯通电试验，正式电送达后进行通电试验。</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安全管理</w:t>
            </w:r>
          </w:p>
          <w:p>
            <w:pPr>
              <w:pStyle w:val="null3"/>
              <w:ind w:firstLine="480"/>
              <w:jc w:val="left"/>
            </w:pPr>
            <w:r>
              <w:rPr>
                <w:rFonts w:ascii="仿宋_GB2312" w:hAnsi="仿宋_GB2312" w:cs="仿宋_GB2312" w:eastAsia="仿宋_GB2312"/>
                <w:sz w:val="24"/>
                <w:color w:val="000000"/>
              </w:rPr>
              <w:t>7.1根据工程特点和施工现场环境，对环境因素和危险源进行辩识评价。</w:t>
            </w:r>
          </w:p>
          <w:p>
            <w:pPr>
              <w:pStyle w:val="null3"/>
              <w:ind w:firstLine="480"/>
              <w:jc w:val="left"/>
            </w:pPr>
            <w:r>
              <w:rPr>
                <w:rFonts w:ascii="仿宋_GB2312" w:hAnsi="仿宋_GB2312" w:cs="仿宋_GB2312" w:eastAsia="仿宋_GB2312"/>
                <w:sz w:val="24"/>
                <w:color w:val="000000"/>
              </w:rPr>
              <w:t>7.2确定出重要环境因素和重大危险源并编制应急预案和安全生产救援预案。</w:t>
            </w:r>
          </w:p>
          <w:p>
            <w:pPr>
              <w:pStyle w:val="null3"/>
              <w:ind w:firstLine="480"/>
              <w:jc w:val="left"/>
            </w:pPr>
            <w:r>
              <w:rPr>
                <w:rFonts w:ascii="仿宋_GB2312" w:hAnsi="仿宋_GB2312" w:cs="仿宋_GB2312" w:eastAsia="仿宋_GB2312"/>
                <w:sz w:val="24"/>
                <w:color w:val="000000"/>
              </w:rPr>
              <w:t>7.3在重要环境因素和重大危险源部位悬挂警示牌。</w:t>
            </w:r>
          </w:p>
          <w:p>
            <w:pPr>
              <w:pStyle w:val="null3"/>
              <w:ind w:firstLine="480"/>
              <w:jc w:val="left"/>
            </w:pPr>
            <w:r>
              <w:rPr>
                <w:rFonts w:ascii="仿宋_GB2312" w:hAnsi="仿宋_GB2312" w:cs="仿宋_GB2312" w:eastAsia="仿宋_GB2312"/>
                <w:sz w:val="24"/>
                <w:color w:val="000000"/>
              </w:rPr>
              <w:t>7.4贯彻项目部临时用电等专项安全技术措施和规范。</w:t>
            </w:r>
          </w:p>
          <w:p>
            <w:pPr>
              <w:pStyle w:val="null3"/>
              <w:ind w:firstLine="480"/>
              <w:jc w:val="left"/>
            </w:pPr>
            <w:r>
              <w:rPr>
                <w:rFonts w:ascii="仿宋_GB2312" w:hAnsi="仿宋_GB2312" w:cs="仿宋_GB2312" w:eastAsia="仿宋_GB2312"/>
                <w:sz w:val="24"/>
                <w:color w:val="000000"/>
              </w:rPr>
              <w:t>7.5设置专职安全管理人员。</w:t>
            </w:r>
          </w:p>
          <w:p>
            <w:pPr>
              <w:pStyle w:val="null3"/>
              <w:ind w:firstLine="480"/>
              <w:jc w:val="left"/>
            </w:pPr>
            <w:r>
              <w:rPr>
                <w:rFonts w:ascii="仿宋_GB2312" w:hAnsi="仿宋_GB2312" w:cs="仿宋_GB2312" w:eastAsia="仿宋_GB2312"/>
                <w:sz w:val="24"/>
                <w:color w:val="000000"/>
              </w:rPr>
              <w:t>7.6加强施工现场安全生产的监督巡查，加大对违章指挥、违章作业行为的处罚力度。</w:t>
            </w:r>
          </w:p>
          <w:p>
            <w:pPr>
              <w:pStyle w:val="null3"/>
              <w:ind w:firstLine="480"/>
              <w:jc w:val="left"/>
            </w:pPr>
            <w:r>
              <w:rPr>
                <w:rFonts w:ascii="仿宋_GB2312" w:hAnsi="仿宋_GB2312" w:cs="仿宋_GB2312" w:eastAsia="仿宋_GB2312"/>
                <w:sz w:val="24"/>
                <w:color w:val="000000"/>
              </w:rPr>
              <w:t>7.7防触电：实行三级配电，二级漏电保护加强临时用电线路的维护检查，对二次线裸露部位及时包扎处理。</w:t>
            </w:r>
          </w:p>
          <w:p>
            <w:pPr>
              <w:pStyle w:val="null3"/>
              <w:ind w:firstLine="480"/>
              <w:jc w:val="left"/>
            </w:pPr>
            <w:r>
              <w:rPr>
                <w:rFonts w:ascii="仿宋_GB2312" w:hAnsi="仿宋_GB2312" w:cs="仿宋_GB2312" w:eastAsia="仿宋_GB2312"/>
                <w:sz w:val="24"/>
                <w:color w:val="000000"/>
              </w:rPr>
              <w:t>7.8防起重伤害：起重吊装人员坚持持证上岗，吊装作业前做好安全技术交底，对吊具、索具进行安全检查，吊装作业区(特别是车流量较大的公路作业)派专人监护或设置警戒线;加强起重机械的日常检修及维护工作。</w:t>
            </w:r>
          </w:p>
          <w:p>
            <w:pPr>
              <w:pStyle w:val="null3"/>
              <w:ind w:firstLine="480"/>
              <w:jc w:val="left"/>
            </w:pPr>
            <w:r>
              <w:rPr>
                <w:rFonts w:ascii="仿宋_GB2312" w:hAnsi="仿宋_GB2312" w:cs="仿宋_GB2312" w:eastAsia="仿宋_GB2312"/>
                <w:sz w:val="24"/>
                <w:color w:val="000000"/>
              </w:rPr>
              <w:t>7.9防火灾：现场配置足够的消防灭火器，焊接作业时，氧、乙炔瓶保持足够的安全距离，与易燃物品之间要采取离措施。</w:t>
            </w:r>
          </w:p>
          <w:p>
            <w:pPr>
              <w:pStyle w:val="null3"/>
              <w:ind w:firstLine="480"/>
              <w:jc w:val="left"/>
            </w:pPr>
            <w:r>
              <w:rPr>
                <w:rFonts w:ascii="仿宋_GB2312" w:hAnsi="仿宋_GB2312" w:cs="仿宋_GB2312" w:eastAsia="仿宋_GB2312"/>
                <w:sz w:val="24"/>
                <w:color w:val="000000"/>
              </w:rPr>
              <w:t>7.10防跌伤、坠落：对临边、洞口采取围挡或遮盖措施，并设置安全警示，保证夜间作业有足够的照明。</w:t>
            </w:r>
          </w:p>
          <w:p>
            <w:pPr>
              <w:pStyle w:val="null3"/>
              <w:ind w:firstLine="480"/>
              <w:jc w:val="left"/>
            </w:pPr>
            <w:r>
              <w:rPr>
                <w:rFonts w:ascii="仿宋_GB2312" w:hAnsi="仿宋_GB2312" w:cs="仿宋_GB2312" w:eastAsia="仿宋_GB2312"/>
                <w:sz w:val="24"/>
                <w:color w:val="000000"/>
              </w:rPr>
              <w:t>7.11防机械伤害：对各类机械操作人员进行培训，必须持证上岗;加强机械设备维修保养。</w:t>
            </w:r>
          </w:p>
          <w:p>
            <w:pPr>
              <w:pStyle w:val="null3"/>
              <w:ind w:firstLine="480"/>
              <w:jc w:val="left"/>
            </w:pPr>
            <w:r>
              <w:rPr>
                <w:rFonts w:ascii="仿宋_GB2312" w:hAnsi="仿宋_GB2312" w:cs="仿宋_GB2312" w:eastAsia="仿宋_GB2312"/>
                <w:sz w:val="24"/>
                <w:color w:val="000000"/>
              </w:rPr>
              <w:t>7.12防交通事故伤害：加强现场作业环境安全教育，严禁酒后作业，道路上设置限速标志，夜间作业人员穿反光服。</w:t>
            </w:r>
          </w:p>
          <w:p>
            <w:pPr>
              <w:pStyle w:val="null3"/>
              <w:ind w:firstLine="48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成本管理</w:t>
            </w:r>
          </w:p>
          <w:p>
            <w:pPr>
              <w:pStyle w:val="null3"/>
              <w:ind w:firstLine="480"/>
              <w:jc w:val="left"/>
            </w:pPr>
            <w:r>
              <w:rPr>
                <w:rFonts w:ascii="仿宋_GB2312" w:hAnsi="仿宋_GB2312" w:cs="仿宋_GB2312" w:eastAsia="仿宋_GB2312"/>
                <w:sz w:val="24"/>
                <w:color w:val="000000"/>
              </w:rPr>
              <w:t>8.1制定合理的运营预算，严格控制各项费用支出，降低运营成本。</w:t>
            </w:r>
          </w:p>
          <w:p>
            <w:pPr>
              <w:pStyle w:val="null3"/>
              <w:ind w:firstLine="480"/>
              <w:jc w:val="left"/>
            </w:pPr>
            <w:r>
              <w:rPr>
                <w:rFonts w:ascii="仿宋_GB2312" w:hAnsi="仿宋_GB2312" w:cs="仿宋_GB2312" w:eastAsia="仿宋_GB2312"/>
                <w:sz w:val="24"/>
                <w:color w:val="000000"/>
              </w:rPr>
              <w:t>8.2优化工艺参数，提高能源利用效率，降低能耗成本。</w:t>
            </w:r>
          </w:p>
          <w:p>
            <w:pPr>
              <w:pStyle w:val="null3"/>
              <w:ind w:firstLine="480"/>
              <w:jc w:val="left"/>
            </w:pPr>
            <w:r>
              <w:rPr>
                <w:rFonts w:ascii="仿宋_GB2312" w:hAnsi="仿宋_GB2312" w:cs="仿宋_GB2312" w:eastAsia="仿宋_GB2312"/>
                <w:sz w:val="24"/>
                <w:color w:val="000000"/>
              </w:rPr>
              <w:t>8.3开展节能减排活动，鼓励员工提出合理化建议，提高经济效益和社会效益。</w:t>
            </w:r>
          </w:p>
          <w:p>
            <w:pPr>
              <w:pStyle w:val="null3"/>
              <w:ind w:firstLine="480"/>
              <w:jc w:val="left"/>
            </w:pPr>
            <w:r>
              <w:rPr>
                <w:rFonts w:ascii="仿宋_GB2312" w:hAnsi="仿宋_GB2312" w:cs="仿宋_GB2312" w:eastAsia="仿宋_GB2312"/>
                <w:sz w:val="24"/>
                <w:color w:val="000000"/>
              </w:rPr>
              <w:t>9、环境管理</w:t>
            </w:r>
          </w:p>
          <w:p>
            <w:pPr>
              <w:pStyle w:val="null3"/>
              <w:ind w:firstLine="480"/>
              <w:jc w:val="left"/>
            </w:pPr>
            <w:r>
              <w:rPr>
                <w:rFonts w:ascii="仿宋_GB2312" w:hAnsi="仿宋_GB2312" w:cs="仿宋_GB2312" w:eastAsia="仿宋_GB2312"/>
                <w:sz w:val="24"/>
                <w:color w:val="000000"/>
              </w:rPr>
              <w:t>9.1加强对作业区周边环境的管理，保持道路整洁卫生，减少对周边道路环境的影响。</w:t>
            </w:r>
          </w:p>
          <w:p>
            <w:pPr>
              <w:pStyle w:val="null3"/>
              <w:ind w:firstLine="480"/>
              <w:jc w:val="left"/>
            </w:pPr>
            <w:r>
              <w:rPr>
                <w:rFonts w:ascii="仿宋_GB2312" w:hAnsi="仿宋_GB2312" w:cs="仿宋_GB2312" w:eastAsia="仿宋_GB2312"/>
                <w:sz w:val="24"/>
                <w:color w:val="000000"/>
              </w:rPr>
              <w:t>9.2对路灯维护过程中产生的废旧灯罩、电线等进行处理，不在现场留下垃圾，保持道路畅通。</w:t>
            </w:r>
          </w:p>
          <w:p>
            <w:pPr>
              <w:pStyle w:val="null3"/>
              <w:ind w:firstLine="482"/>
              <w:jc w:val="left"/>
            </w:pPr>
            <w:r>
              <w:rPr>
                <w:rFonts w:ascii="仿宋_GB2312" w:hAnsi="仿宋_GB2312" w:cs="仿宋_GB2312" w:eastAsia="仿宋_GB2312"/>
                <w:sz w:val="24"/>
                <w:b/>
                <w:color w:val="000000"/>
              </w:rPr>
              <w:t>三、考核管理</w:t>
            </w:r>
          </w:p>
          <w:p>
            <w:pPr>
              <w:pStyle w:val="null3"/>
              <w:ind w:firstLine="480"/>
              <w:jc w:val="left"/>
            </w:pPr>
            <w:r>
              <w:rPr>
                <w:rFonts w:ascii="仿宋_GB2312" w:hAnsi="仿宋_GB2312" w:cs="仿宋_GB2312" w:eastAsia="仿宋_GB2312"/>
                <w:sz w:val="24"/>
                <w:color w:val="000000"/>
              </w:rPr>
              <w:t>1、运行考核的主要指标</w:t>
            </w:r>
          </w:p>
          <w:p>
            <w:pPr>
              <w:pStyle w:val="null3"/>
              <w:ind w:firstLine="480"/>
              <w:jc w:val="left"/>
            </w:pPr>
            <w:r>
              <w:rPr>
                <w:rFonts w:ascii="仿宋_GB2312" w:hAnsi="仿宋_GB2312" w:cs="仿宋_GB2312" w:eastAsia="仿宋_GB2312"/>
                <w:sz w:val="24"/>
                <w:color w:val="000000"/>
              </w:rPr>
              <w:t>1.1 基础管理</w:t>
            </w:r>
          </w:p>
          <w:p>
            <w:pPr>
              <w:pStyle w:val="null3"/>
              <w:ind w:firstLine="480"/>
              <w:jc w:val="left"/>
            </w:pPr>
            <w:r>
              <w:rPr>
                <w:rFonts w:ascii="仿宋_GB2312" w:hAnsi="仿宋_GB2312" w:cs="仿宋_GB2312" w:eastAsia="仿宋_GB2312"/>
                <w:sz w:val="24"/>
                <w:color w:val="000000"/>
              </w:rPr>
              <w:t>(1)路灯维护供应商应制定相关操作规程或类似的组织机构章程明确各岗位的职能、</w:t>
            </w:r>
          </w:p>
          <w:p>
            <w:pPr>
              <w:pStyle w:val="null3"/>
              <w:jc w:val="left"/>
            </w:pPr>
            <w:r>
              <w:rPr>
                <w:rFonts w:ascii="仿宋_GB2312" w:hAnsi="仿宋_GB2312" w:cs="仿宋_GB2312" w:eastAsia="仿宋_GB2312"/>
                <w:sz w:val="24"/>
                <w:color w:val="000000"/>
              </w:rPr>
              <w:t>任务、权限和责任</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2）高空作业操作人员应经过专业培训，了解处理工艺，熟悉本岗位设施、设备的</w:t>
            </w:r>
          </w:p>
          <w:p>
            <w:pPr>
              <w:pStyle w:val="null3"/>
              <w:jc w:val="left"/>
            </w:pPr>
            <w:r>
              <w:rPr>
                <w:rFonts w:ascii="仿宋_GB2312" w:hAnsi="仿宋_GB2312" w:cs="仿宋_GB2312" w:eastAsia="仿宋_GB2312"/>
                <w:sz w:val="24"/>
                <w:color w:val="000000"/>
              </w:rPr>
              <w:t>运行要求和技术指标。</w:t>
            </w:r>
          </w:p>
          <w:p>
            <w:pPr>
              <w:pStyle w:val="null3"/>
              <w:ind w:firstLine="480"/>
              <w:jc w:val="left"/>
            </w:pPr>
            <w:r>
              <w:rPr>
                <w:rFonts w:ascii="仿宋_GB2312" w:hAnsi="仿宋_GB2312" w:cs="仿宋_GB2312" w:eastAsia="仿宋_GB2312"/>
                <w:sz w:val="24"/>
                <w:color w:val="000000"/>
              </w:rPr>
              <w:t>(3)做好维护记录和台账，按时填写，并妥善保管定期向采购方汇报。</w:t>
            </w:r>
          </w:p>
          <w:p>
            <w:pPr>
              <w:pStyle w:val="null3"/>
              <w:ind w:firstLine="480"/>
              <w:jc w:val="left"/>
            </w:pPr>
            <w:r>
              <w:rPr>
                <w:rFonts w:ascii="仿宋_GB2312" w:hAnsi="仿宋_GB2312" w:cs="仿宋_GB2312" w:eastAsia="仿宋_GB2312"/>
                <w:sz w:val="24"/>
                <w:color w:val="000000"/>
              </w:rPr>
              <w:t>(4)按时限要求及时、准确、完整的向主管部门上报维护记录、报告和资料。</w:t>
            </w:r>
          </w:p>
          <w:p>
            <w:pPr>
              <w:pStyle w:val="null3"/>
              <w:ind w:firstLine="480"/>
              <w:jc w:val="left"/>
            </w:pPr>
            <w:r>
              <w:rPr>
                <w:rFonts w:ascii="仿宋_GB2312" w:hAnsi="仿宋_GB2312" w:cs="仿宋_GB2312" w:eastAsia="仿宋_GB2312"/>
                <w:sz w:val="24"/>
                <w:color w:val="000000"/>
              </w:rPr>
              <w:t>1.2 运营管理</w:t>
            </w:r>
          </w:p>
          <w:p>
            <w:pPr>
              <w:pStyle w:val="null3"/>
              <w:ind w:firstLine="480"/>
              <w:jc w:val="left"/>
            </w:pPr>
            <w:r>
              <w:rPr>
                <w:rFonts w:ascii="仿宋_GB2312" w:hAnsi="仿宋_GB2312" w:cs="仿宋_GB2312" w:eastAsia="仿宋_GB2312"/>
                <w:sz w:val="24"/>
                <w:color w:val="000000"/>
              </w:rPr>
              <w:t>(1)相关维护设备，专业作业人员均齐备。</w:t>
            </w:r>
          </w:p>
          <w:p>
            <w:pPr>
              <w:pStyle w:val="null3"/>
              <w:ind w:firstLine="480"/>
              <w:jc w:val="left"/>
            </w:pPr>
            <w:r>
              <w:rPr>
                <w:rFonts w:ascii="仿宋_GB2312" w:hAnsi="仿宋_GB2312" w:cs="仿宋_GB2312" w:eastAsia="仿宋_GB2312"/>
                <w:sz w:val="24"/>
                <w:color w:val="000000"/>
              </w:rPr>
              <w:t>(2)维修人员应穿上工作服，并佩戴好安全帽和手套。</w:t>
            </w:r>
          </w:p>
          <w:p>
            <w:pPr>
              <w:pStyle w:val="null3"/>
              <w:ind w:firstLine="480"/>
              <w:jc w:val="left"/>
            </w:pPr>
            <w:r>
              <w:rPr>
                <w:rFonts w:ascii="仿宋_GB2312" w:hAnsi="仿宋_GB2312" w:cs="仿宋_GB2312" w:eastAsia="仿宋_GB2312"/>
                <w:sz w:val="24"/>
                <w:color w:val="000000"/>
              </w:rPr>
              <w:t>(3)检查维修工具和设备是否完好，确保工作需要的一切准备就绪。</w:t>
            </w:r>
          </w:p>
          <w:p>
            <w:pPr>
              <w:pStyle w:val="null3"/>
              <w:ind w:firstLine="480"/>
              <w:jc w:val="left"/>
            </w:pPr>
            <w:r>
              <w:rPr>
                <w:rFonts w:ascii="仿宋_GB2312" w:hAnsi="仿宋_GB2312" w:cs="仿宋_GB2312" w:eastAsia="仿宋_GB2312"/>
                <w:sz w:val="24"/>
                <w:color w:val="000000"/>
              </w:rPr>
              <w:t>(4)根据维修任务的具体要求，确认需要维修的路灯数量和位置。</w:t>
            </w:r>
          </w:p>
          <w:p>
            <w:pPr>
              <w:pStyle w:val="null3"/>
              <w:ind w:firstLine="480"/>
              <w:jc w:val="left"/>
            </w:pPr>
            <w:r>
              <w:rPr>
                <w:rFonts w:ascii="仿宋_GB2312" w:hAnsi="仿宋_GB2312" w:cs="仿宋_GB2312" w:eastAsia="仿宋_GB2312"/>
                <w:sz w:val="24"/>
                <w:color w:val="000000"/>
              </w:rPr>
              <w:t>(5)对需要维修的路灯进行检查，确定故障原因。</w:t>
            </w:r>
          </w:p>
          <w:p>
            <w:pPr>
              <w:pStyle w:val="null3"/>
              <w:ind w:firstLine="480"/>
              <w:jc w:val="left"/>
            </w:pPr>
            <w:r>
              <w:rPr>
                <w:rFonts w:ascii="仿宋_GB2312" w:hAnsi="仿宋_GB2312" w:cs="仿宋_GB2312" w:eastAsia="仿宋_GB2312"/>
                <w:sz w:val="24"/>
                <w:color w:val="000000"/>
              </w:rPr>
              <w:t>(6)关闭路灯电源，确保安全操作。</w:t>
            </w:r>
          </w:p>
          <w:p>
            <w:pPr>
              <w:pStyle w:val="null3"/>
              <w:ind w:firstLine="480"/>
              <w:jc w:val="left"/>
            </w:pPr>
            <w:r>
              <w:rPr>
                <w:rFonts w:ascii="仿宋_GB2312" w:hAnsi="仿宋_GB2312" w:cs="仿宋_GB2312" w:eastAsia="仿宋_GB2312"/>
                <w:sz w:val="24"/>
                <w:color w:val="000000"/>
              </w:rPr>
              <w:t>(7)拆卸路灯灯罩，清理灯具附着物。</w:t>
            </w:r>
          </w:p>
          <w:p>
            <w:pPr>
              <w:pStyle w:val="null3"/>
              <w:ind w:firstLine="480"/>
              <w:jc w:val="left"/>
            </w:pPr>
            <w:r>
              <w:rPr>
                <w:rFonts w:ascii="仿宋_GB2312" w:hAnsi="仿宋_GB2312" w:cs="仿宋_GB2312" w:eastAsia="仿宋_GB2312"/>
                <w:sz w:val="24"/>
                <w:color w:val="000000"/>
              </w:rPr>
              <w:t>(8)检查路灯电路和接线情况，确认是否有损坏或短路的部件。</w:t>
            </w:r>
          </w:p>
          <w:p>
            <w:pPr>
              <w:pStyle w:val="null3"/>
              <w:ind w:firstLine="480"/>
              <w:jc w:val="left"/>
            </w:pPr>
            <w:r>
              <w:rPr>
                <w:rFonts w:ascii="仿宋_GB2312" w:hAnsi="仿宋_GB2312" w:cs="仿宋_GB2312" w:eastAsia="仿宋_GB2312"/>
                <w:sz w:val="24"/>
                <w:color w:val="000000"/>
              </w:rPr>
              <w:t>(9)更换或修复受损的零部件。</w:t>
            </w:r>
          </w:p>
          <w:p>
            <w:pPr>
              <w:pStyle w:val="null3"/>
              <w:ind w:firstLine="480"/>
              <w:jc w:val="left"/>
            </w:pPr>
            <w:r>
              <w:rPr>
                <w:rFonts w:ascii="仿宋_GB2312" w:hAnsi="仿宋_GB2312" w:cs="仿宋_GB2312" w:eastAsia="仿宋_GB2312"/>
                <w:sz w:val="24"/>
                <w:color w:val="000000"/>
              </w:rPr>
              <w:t>(10)组装路灯灯具，复原路灯的正常状态。</w:t>
            </w:r>
          </w:p>
          <w:p>
            <w:pPr>
              <w:pStyle w:val="null3"/>
              <w:ind w:firstLine="480"/>
              <w:jc w:val="left"/>
            </w:pPr>
            <w:r>
              <w:rPr>
                <w:rFonts w:ascii="仿宋_GB2312" w:hAnsi="仿宋_GB2312" w:cs="仿宋_GB2312" w:eastAsia="仿宋_GB2312"/>
                <w:sz w:val="24"/>
                <w:color w:val="000000"/>
              </w:rPr>
              <w:t>(11)开启路灯电源，确认修复效果。</w:t>
            </w:r>
          </w:p>
          <w:p>
            <w:pPr>
              <w:pStyle w:val="null3"/>
              <w:ind w:firstLine="480"/>
              <w:jc w:val="left"/>
            </w:pPr>
            <w:r>
              <w:rPr>
                <w:rFonts w:ascii="仿宋_GB2312" w:hAnsi="仿宋_GB2312" w:cs="仿宋_GB2312" w:eastAsia="仿宋_GB2312"/>
                <w:sz w:val="24"/>
                <w:color w:val="000000"/>
              </w:rPr>
              <w:t>1.3 安全管理</w:t>
            </w:r>
          </w:p>
          <w:p>
            <w:pPr>
              <w:pStyle w:val="null3"/>
              <w:ind w:firstLine="480"/>
              <w:jc w:val="left"/>
            </w:pPr>
            <w:r>
              <w:rPr>
                <w:rFonts w:ascii="仿宋_GB2312" w:hAnsi="仿宋_GB2312" w:cs="仿宋_GB2312" w:eastAsia="仿宋_GB2312"/>
                <w:sz w:val="24"/>
                <w:color w:val="000000"/>
              </w:rPr>
              <w:t>(1)在维修过程中，严格遵守操作规程，确保安全生产。</w:t>
            </w:r>
          </w:p>
          <w:p>
            <w:pPr>
              <w:pStyle w:val="null3"/>
              <w:ind w:firstLine="480"/>
              <w:jc w:val="left"/>
            </w:pPr>
            <w:r>
              <w:rPr>
                <w:rFonts w:ascii="仿宋_GB2312" w:hAnsi="仿宋_GB2312" w:cs="仿宋_GB2312" w:eastAsia="仿宋_GB2312"/>
                <w:sz w:val="24"/>
                <w:color w:val="000000"/>
              </w:rPr>
              <w:t>(2)如遇到电气维修需求，应在有资质的电工的指导下进行操作。</w:t>
            </w:r>
          </w:p>
          <w:p>
            <w:pPr>
              <w:pStyle w:val="null3"/>
              <w:ind w:firstLine="480"/>
              <w:jc w:val="left"/>
            </w:pPr>
            <w:r>
              <w:rPr>
                <w:rFonts w:ascii="仿宋_GB2312" w:hAnsi="仿宋_GB2312" w:cs="仿宋_GB2312" w:eastAsia="仿宋_GB2312"/>
                <w:sz w:val="24"/>
                <w:color w:val="000000"/>
              </w:rPr>
              <w:t>(3)如遇特殊情况，及时汇报并请示上级主管领导。</w:t>
            </w:r>
          </w:p>
          <w:p>
            <w:pPr>
              <w:pStyle w:val="null3"/>
              <w:ind w:firstLine="480"/>
              <w:jc w:val="left"/>
            </w:pPr>
            <w:r>
              <w:rPr>
                <w:rFonts w:ascii="仿宋_GB2312" w:hAnsi="仿宋_GB2312" w:cs="仿宋_GB2312" w:eastAsia="仿宋_GB2312"/>
                <w:sz w:val="24"/>
                <w:color w:val="000000"/>
              </w:rPr>
              <w:t>1.4 档案管理</w:t>
            </w:r>
          </w:p>
          <w:p>
            <w:pPr>
              <w:pStyle w:val="null3"/>
              <w:ind w:firstLine="480"/>
              <w:jc w:val="left"/>
            </w:pPr>
            <w:r>
              <w:rPr>
                <w:rFonts w:ascii="仿宋_GB2312" w:hAnsi="仿宋_GB2312" w:cs="仿宋_GB2312" w:eastAsia="仿宋_GB2312"/>
                <w:sz w:val="24"/>
                <w:color w:val="000000"/>
              </w:rPr>
              <w:t>(1)建立完备的档案管理制度，包括资料的收集、整理、鉴定、统计、归档、保管、借阅、检查、销毁等规定和工作流程。</w:t>
            </w:r>
          </w:p>
          <w:p>
            <w:pPr>
              <w:pStyle w:val="null3"/>
              <w:ind w:firstLine="480"/>
              <w:jc w:val="left"/>
            </w:pPr>
            <w:r>
              <w:rPr>
                <w:rFonts w:ascii="仿宋_GB2312" w:hAnsi="仿宋_GB2312" w:cs="仿宋_GB2312" w:eastAsia="仿宋_GB2312"/>
                <w:sz w:val="24"/>
                <w:color w:val="000000"/>
              </w:rPr>
              <w:t>(2)相关电子类动态数据文件应定期进行更新，保证电子 档案的完整性、准确性，并加以备份。</w:t>
            </w:r>
          </w:p>
          <w:p>
            <w:pPr>
              <w:pStyle w:val="null3"/>
              <w:ind w:firstLine="480"/>
              <w:jc w:val="left"/>
            </w:pPr>
            <w:r>
              <w:rPr>
                <w:rFonts w:ascii="仿宋_GB2312" w:hAnsi="仿宋_GB2312" w:cs="仿宋_GB2312" w:eastAsia="仿宋_GB2312"/>
                <w:sz w:val="24"/>
                <w:color w:val="000000"/>
              </w:rPr>
              <w:t>(3)技术档案应包括各级各类技术规范、标准和操作规程、 设施设备台账、灯具合格证及质检测报告、巡查维护以及技术状况分析报告、各类突发事件的应急预案等，</w:t>
            </w:r>
          </w:p>
          <w:p>
            <w:pPr>
              <w:pStyle w:val="null3"/>
              <w:ind w:firstLine="480"/>
              <w:jc w:val="left"/>
            </w:pPr>
            <w:r>
              <w:rPr>
                <w:rFonts w:ascii="仿宋_GB2312" w:hAnsi="仿宋_GB2312" w:cs="仿宋_GB2312" w:eastAsia="仿宋_GB2312"/>
                <w:sz w:val="24"/>
                <w:color w:val="000000"/>
              </w:rPr>
              <w:t>2.绩效考核付费机制</w:t>
            </w:r>
          </w:p>
          <w:p>
            <w:pPr>
              <w:pStyle w:val="null3"/>
              <w:ind w:firstLine="480"/>
              <w:jc w:val="left"/>
            </w:pPr>
            <w:r>
              <w:rPr>
                <w:rFonts w:ascii="仿宋_GB2312" w:hAnsi="仿宋_GB2312" w:cs="仿宋_GB2312" w:eastAsia="仿宋_GB2312"/>
                <w:sz w:val="24"/>
                <w:color w:val="000000"/>
              </w:rPr>
              <w:t>2.1道路维护供应商绩效考核作为我单位支付维护费用的依据。</w:t>
            </w:r>
          </w:p>
          <w:p>
            <w:pPr>
              <w:pStyle w:val="null3"/>
              <w:ind w:firstLine="480"/>
              <w:jc w:val="left"/>
            </w:pPr>
            <w:r>
              <w:rPr>
                <w:rFonts w:ascii="仿宋_GB2312" w:hAnsi="仿宋_GB2312" w:cs="仿宋_GB2312" w:eastAsia="仿宋_GB2312"/>
                <w:sz w:val="24"/>
                <w:color w:val="000000"/>
              </w:rPr>
              <w:t>2.2 打分方法：考核实行100分制。</w:t>
            </w:r>
          </w:p>
          <w:p>
            <w:pPr>
              <w:pStyle w:val="null3"/>
              <w:ind w:firstLine="480"/>
              <w:jc w:val="left"/>
            </w:pPr>
            <w:r>
              <w:rPr>
                <w:rFonts w:ascii="仿宋_GB2312" w:hAnsi="仿宋_GB2312" w:cs="仿宋_GB2312" w:eastAsia="仿宋_GB2312"/>
                <w:sz w:val="24"/>
                <w:color w:val="000000"/>
              </w:rPr>
              <w:t>付费比例：每季度考核成绩作为拨付当季度维护费用的依据。</w:t>
            </w:r>
          </w:p>
          <w:p>
            <w:pPr>
              <w:pStyle w:val="null3"/>
              <w:ind w:firstLine="480"/>
              <w:jc w:val="left"/>
            </w:pPr>
            <w:r>
              <w:rPr>
                <w:rFonts w:ascii="仿宋_GB2312" w:hAnsi="仿宋_GB2312" w:cs="仿宋_GB2312" w:eastAsia="仿宋_GB2312"/>
                <w:sz w:val="24"/>
                <w:color w:val="000000"/>
              </w:rPr>
              <w:t>(1)分数在90分以上(含90分)，核拨当季度全部经费</w:t>
            </w:r>
          </w:p>
          <w:p>
            <w:pPr>
              <w:pStyle w:val="null3"/>
              <w:ind w:firstLine="480"/>
              <w:jc w:val="left"/>
            </w:pPr>
            <w:r>
              <w:rPr>
                <w:rFonts w:ascii="仿宋_GB2312" w:hAnsi="仿宋_GB2312" w:cs="仿宋_GB2312" w:eastAsia="仿宋_GB2312"/>
                <w:sz w:val="24"/>
                <w:color w:val="000000"/>
              </w:rPr>
              <w:t>(2)分数在85-90分(含85分)，降低1分扣除当季度经费的0.6%。</w:t>
            </w:r>
          </w:p>
          <w:p>
            <w:pPr>
              <w:pStyle w:val="null3"/>
              <w:ind w:firstLine="480"/>
              <w:jc w:val="left"/>
            </w:pPr>
            <w:r>
              <w:rPr>
                <w:rFonts w:ascii="仿宋_GB2312" w:hAnsi="仿宋_GB2312" w:cs="仿宋_GB2312" w:eastAsia="仿宋_GB2312"/>
                <w:sz w:val="24"/>
                <w:color w:val="000000"/>
              </w:rPr>
              <w:t>(3)分数在80-85分(含80分)，降低1分扣除当季度经费的0.4%。</w:t>
            </w:r>
          </w:p>
          <w:p>
            <w:pPr>
              <w:pStyle w:val="null3"/>
              <w:ind w:firstLine="480"/>
              <w:jc w:val="left"/>
            </w:pPr>
            <w:r>
              <w:rPr>
                <w:rFonts w:ascii="仿宋_GB2312" w:hAnsi="仿宋_GB2312" w:cs="仿宋_GB2312" w:eastAsia="仿宋_GB2312"/>
                <w:sz w:val="24"/>
                <w:color w:val="000000"/>
              </w:rPr>
              <w:t>(4)分数在80分(不含80分)以下，扣除当季度经费的10%,并限期整改，整改仍未达标的，扣除整改期间当季度全部经费。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5)连续三个季度分数在70分以下，或者当季度考核低于60分，甲方有权解除合同。</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b/>
                <w:color w:val="000000"/>
              </w:rPr>
              <w:t>四、维护管理服务费</w:t>
            </w:r>
          </w:p>
          <w:tbl>
            <w:tblPr>
              <w:tblInd w:type="dxa" w:w="90"/>
              <w:tblBorders>
                <w:top w:val="none" w:color="000000" w:sz="4"/>
                <w:left w:val="none" w:color="000000" w:sz="4"/>
                <w:bottom w:val="none" w:color="000000" w:sz="4"/>
                <w:right w:val="none" w:color="000000" w:sz="4"/>
                <w:insideH w:val="none"/>
                <w:insideV w:val="none"/>
              </w:tblBorders>
            </w:tblPr>
            <w:tblGrid>
              <w:gridCol w:w="505"/>
              <w:gridCol w:w="505"/>
              <w:gridCol w:w="355"/>
              <w:gridCol w:w="262"/>
              <w:gridCol w:w="287"/>
              <w:gridCol w:w="351"/>
              <w:gridCol w:w="279"/>
            </w:tblGrid>
            <w:tr>
              <w:tc>
                <w:tcPr>
                  <w:tcW w:type="dxa" w:w="2544"/>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6"/>
                      <w:b/>
                      <w:color w:val="000000"/>
                    </w:rPr>
                    <w:t>铜川市耀州区市政道路照明设施维护管理服务费</w:t>
                  </w:r>
                </w:p>
              </w:tc>
            </w:tr>
            <w:tr>
              <w:tc>
                <w:tcPr>
                  <w:tcW w:type="dxa" w:w="2544"/>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一、电价计费</w:t>
                  </w: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项目名称</w:t>
                  </w:r>
                </w:p>
              </w:tc>
              <w:tc>
                <w:tcPr>
                  <w:tcW w:type="dxa" w:w="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设备数量</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每日用电总功率（</w:t>
                  </w:r>
                  <w:r>
                    <w:rPr>
                      <w:rFonts w:ascii="仿宋_GB2312" w:hAnsi="仿宋_GB2312" w:cs="仿宋_GB2312" w:eastAsia="仿宋_GB2312"/>
                      <w:sz w:val="24"/>
                      <w:color w:val="000000"/>
                    </w:rPr>
                    <w:t>KW）</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每日用电时长（小时）</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每年用电天数</w:t>
                  </w:r>
                </w:p>
              </w:tc>
              <w:tc>
                <w:tcPr>
                  <w:tcW w:type="dxa" w:w="3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电费单价（元）</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费用金额（万元）</w:t>
                  </w: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电价</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3185</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956.92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222.5</w:t>
                  </w:r>
                </w:p>
              </w:tc>
            </w:tr>
            <w:tr>
              <w:tc>
                <w:tcPr>
                  <w:tcW w:type="dxa" w:w="19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计</w:t>
                  </w:r>
                </w:p>
              </w:tc>
              <w:tc>
                <w:tcPr>
                  <w:tcW w:type="dxa" w:w="6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222.5</w:t>
                  </w:r>
                </w:p>
              </w:tc>
            </w:tr>
            <w:tr>
              <w:tc>
                <w:tcPr>
                  <w:tcW w:type="dxa" w:w="254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二、管理费用</w:t>
                  </w:r>
                </w:p>
              </w:tc>
            </w:tr>
            <w:tr>
              <w:tc>
                <w:tcPr>
                  <w:tcW w:type="dxa" w:w="10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项目名称</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设备数量</w:t>
                  </w:r>
                </w:p>
              </w:tc>
              <w:tc>
                <w:tcPr>
                  <w:tcW w:type="dxa" w:w="54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年费用（元</w:t>
                  </w:r>
                  <w:r>
                    <w:rPr>
                      <w:rFonts w:ascii="仿宋_GB2312" w:hAnsi="仿宋_GB2312" w:cs="仿宋_GB2312" w:eastAsia="仿宋_GB2312"/>
                      <w:sz w:val="24"/>
                      <w:color w:val="000000"/>
                    </w:rPr>
                    <w:t>）</w:t>
                  </w:r>
                </w:p>
              </w:tc>
              <w:tc>
                <w:tcPr>
                  <w:tcW w:type="dxa" w:w="63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金额（万元）</w:t>
                  </w:r>
                </w:p>
              </w:tc>
            </w:tr>
            <w:tr>
              <w:tc>
                <w:tcPr>
                  <w:tcW w:type="dxa" w:w="10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维护车辆</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p>
                  <w:pPr>
                    <w:pStyle w:val="null3"/>
                    <w:jc w:val="center"/>
                  </w:pPr>
                </w:p>
              </w:tc>
              <w:tc>
                <w:tcPr>
                  <w:tcW w:type="dxa" w:w="6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p>
                  <w:pPr>
                    <w:pStyle w:val="null3"/>
                    <w:jc w:val="center"/>
                  </w:pPr>
                </w:p>
              </w:tc>
            </w:tr>
            <w:tr>
              <w:tc>
                <w:tcPr>
                  <w:tcW w:type="dxa" w:w="10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办公费用</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p>
                  <w:pPr>
                    <w:pStyle w:val="null3"/>
                    <w:jc w:val="center"/>
                  </w:pPr>
                </w:p>
              </w:tc>
              <w:tc>
                <w:tcPr>
                  <w:tcW w:type="dxa" w:w="6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p>
                  <w:pPr>
                    <w:pStyle w:val="null3"/>
                    <w:jc w:val="center"/>
                  </w:pPr>
                </w:p>
              </w:tc>
            </w:tr>
            <w:tr>
              <w:tc>
                <w:tcPr>
                  <w:tcW w:type="dxa" w:w="19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计</w:t>
                  </w:r>
                </w:p>
              </w:tc>
              <w:tc>
                <w:tcPr>
                  <w:tcW w:type="dxa" w:w="6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p>
                  <w:pPr>
                    <w:pStyle w:val="null3"/>
                    <w:jc w:val="center"/>
                  </w:pPr>
                </w:p>
              </w:tc>
            </w:tr>
            <w:tr>
              <w:tc>
                <w:tcPr>
                  <w:tcW w:type="dxa" w:w="254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三、路灯维修维护费用</w:t>
                  </w:r>
                </w:p>
              </w:tc>
            </w:tr>
            <w:tr>
              <w:tc>
                <w:tcPr>
                  <w:tcW w:type="dxa" w:w="10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项目名称</w:t>
                  </w:r>
                </w:p>
              </w:tc>
              <w:tc>
                <w:tcPr>
                  <w:tcW w:type="dxa" w:w="90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63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金额（万元）</w:t>
                  </w:r>
                </w:p>
              </w:tc>
            </w:tr>
            <w:tr>
              <w:tc>
                <w:tcPr>
                  <w:tcW w:type="dxa" w:w="10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路灯维修维护费用</w:t>
                  </w:r>
                </w:p>
              </w:tc>
              <w:tc>
                <w:tcPr>
                  <w:tcW w:type="dxa" w:w="90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w:t>
                  </w:r>
                </w:p>
              </w:tc>
              <w:tc>
                <w:tcPr>
                  <w:tcW w:type="dxa" w:w="6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p>
                  <w:pPr>
                    <w:pStyle w:val="null3"/>
                    <w:jc w:val="center"/>
                  </w:pPr>
                </w:p>
              </w:tc>
            </w:tr>
            <w:tr>
              <w:tc>
                <w:tcPr>
                  <w:tcW w:type="dxa" w:w="19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计</w:t>
                  </w:r>
                </w:p>
              </w:tc>
              <w:tc>
                <w:tcPr>
                  <w:tcW w:type="dxa" w:w="6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p>
                  <w:pPr>
                    <w:pStyle w:val="null3"/>
                    <w:jc w:val="center"/>
                  </w:pPr>
                </w:p>
              </w:tc>
            </w:tr>
            <w:tr>
              <w:tc>
                <w:tcPr>
                  <w:tcW w:type="dxa" w:w="254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四、维护人工费</w:t>
                  </w: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费用名称</w:t>
                  </w:r>
                </w:p>
              </w:tc>
              <w:tc>
                <w:tcPr>
                  <w:tcW w:type="dxa" w:w="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人员数量</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单价</w:t>
                  </w:r>
                </w:p>
              </w:tc>
              <w:tc>
                <w:tcPr>
                  <w:tcW w:type="dxa" w:w="54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月数</w:t>
                  </w:r>
                </w:p>
              </w:tc>
              <w:tc>
                <w:tcPr>
                  <w:tcW w:type="dxa" w:w="63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工费金额（万元）</w:t>
                  </w: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人员工资及社会保险</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p>
                  <w:pPr>
                    <w:pStyle w:val="null3"/>
                    <w:jc w:val="center"/>
                  </w:p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12个月</w:t>
                  </w:r>
                </w:p>
              </w:tc>
              <w:tc>
                <w:tcPr>
                  <w:tcW w:type="dxa" w:w="6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p>
                  <w:pPr>
                    <w:pStyle w:val="null3"/>
                    <w:jc w:val="center"/>
                  </w:pP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福利费用</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p>
                  <w:pPr>
                    <w:pStyle w:val="null3"/>
                    <w:jc w:val="center"/>
                  </w:pPr>
                </w:p>
              </w:tc>
              <w:tc>
                <w:tcPr>
                  <w:tcW w:type="dxa" w:w="5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年</w:t>
                  </w:r>
                </w:p>
              </w:tc>
              <w:tc>
                <w:tcPr>
                  <w:tcW w:type="dxa" w:w="6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p>
                  <w:pPr>
                    <w:pStyle w:val="null3"/>
                    <w:jc w:val="center"/>
                  </w:pPr>
                </w:p>
              </w:tc>
            </w:tr>
            <w:tr>
              <w:tc>
                <w:tcPr>
                  <w:tcW w:type="dxa" w:w="19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计</w:t>
                  </w:r>
                </w:p>
              </w:tc>
              <w:tc>
                <w:tcPr>
                  <w:tcW w:type="dxa" w:w="6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p>
                  <w:pPr>
                    <w:pStyle w:val="null3"/>
                    <w:jc w:val="center"/>
                  </w:pPr>
                </w:p>
              </w:tc>
            </w:tr>
            <w:tr>
              <w:tc>
                <w:tcPr>
                  <w:tcW w:type="dxa" w:w="10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费用总计（万元）</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1179"/>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p>
                  <w:pPr>
                    <w:pStyle w:val="null3"/>
                    <w:jc w:val="center"/>
                  </w:p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1.现场特种作业人员必须持上岗证作业，各工序施工中要有严格的安全技术交底。 2.建立电器安全管理和经济责任制度。 3.由专业人员编制施工用电组织设计、供电方式、配电装置的设置及其配电容量，供配电线路的走向和现场照明的设置及生活设施的用电负荷情况，编制有针对性的电器安全技术规范。 4.施工现场装备行业统一规定的标准电源箱。电器线路和用电设备安装完成后，由专业管理部门验收合格后方可运行操作。 5.经常对用设备用电设备进行安全检查、测试，发现问题，及时整改。 6.机械设备操作人员(或驾驶员)经过专门训练，经考试取得操作证或驾驶执照后方可上机(车)。 7.操作人员和指挥人员严格遵守安全操作技术规程，认真工作，严格贯彻岗位制度。 8.机械设备发生故障后及时检修，严禁带故障运行。 9.物资部统一对物资进行管理，按照材料的储存要求修建具备相应功能的仓库，做到分门别类储放。 10.仓库设专人负责保管、看护，值班室内设报警系统，随时与派出所和消防部门取得联系 11.技术人员做好施工图纸的审查、会审，参加设计交底及图纸会审。 12.施工过程中采用动态管理，发现问题点及时更正，以此循环。从而提高工程的质量。</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铜川市耀州区城区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包括但不限于《基础设施和公用事业特许经营管理办法》（2024年第17号令）、《城市照明管理规定》（2010年5月27日中华人民共和国住房和城乡建设部令第4号发布），同时符合国家级行业标准要求；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考核打分90分以上足额计算当期申请费用，未达到90分，分数在85-90分(含85分)每降低1分扣除当季度经费的0.6%；分数在80-85分(含80分)，每降低1分扣除当季度经费的0.4%；分数在80分(不含80分)以下，扣除当季度经费的10%,并限期整改，整改仍未达标的，扣除整改期间当季度全部经费。连续三个季度分数在70分以下，或者当季度考核低于60分，甲方有权解除合同。2.服务费用支付乙方于每月20日前向甲方报送当月已完成合格工程量进度表，甲方审核后结合当月考核情况进行核算，每个月结算一次，支付经双方确认后的当月结算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投标人2023年度或2024年度经审计的财务报表复印件(包括资产负债表、现金流量表、利润表)，或本年度基本开户银行出具的资信证明。供应商需在项目电子化交易系统中按要求上传相应证明文件并进行电子签章。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合法有效的营业执照等证明文件</w:t>
            </w:r>
          </w:p>
        </w:tc>
        <w:tc>
          <w:tcPr>
            <w:tcW w:type="dxa" w:w="3322"/>
          </w:tcPr>
          <w:p>
            <w:pPr>
              <w:pStyle w:val="null3"/>
            </w:pPr>
            <w:r>
              <w:rPr>
                <w:rFonts w:ascii="仿宋_GB2312" w:hAnsi="仿宋_GB2312" w:cs="仿宋_GB2312" w:eastAsia="仿宋_GB2312"/>
              </w:rPr>
              <w:t>投标人须具有独立承担民事责任的能力且具备向招标人提供相关货物及相应服务的企业法人/事业法人/其他组织,企业法人应提供合法有效的营业执照等证明文件，事业法人应提供合法有效的事业单位法人证等证明文件，其他组织应提供合法有效的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身份证明/法定代表人授权委托书：法定代表人直接参加投标的，须提供法定代表人身份证明及其身份证复印件加盖供应商公章；法定代表人授权他人参加投标的，须提供法定代表人授权委托书（附法定代表人、被授权人身份证复印件加盖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投标人2023年度或2024年度经审计的财务报表复印件(包括资产负债表、现金流量表、利润表)，或本年度基本开户银行出具的资信证明。供应商需在项目电子化交易系统中按要求上传相应证明文件并进行电子签章。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供应商提供开标前一年内任意一个月的社会保障资金缴存单据或社保机构开具的社会保险参保缴费情况证明，依法不需要缴纳社会保障资金的供应商应提供相关文件证明。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供应商提供开标前一年内任意一个月的纳税证明或完税证明，纳税证明或完税证明上应有代收机构或税务机关的公章，依法免税的供应商应提供相关文件证明。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 3 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本采购包专门面向中小企业</w:t>
            </w:r>
          </w:p>
        </w:tc>
        <w:tc>
          <w:tcPr>
            <w:tcW w:type="dxa" w:w="3322"/>
          </w:tcPr>
          <w:p>
            <w:pPr>
              <w:pStyle w:val="null3"/>
            </w:pPr>
            <w:r>
              <w:rPr>
                <w:rFonts w:ascii="仿宋_GB2312" w:hAnsi="仿宋_GB2312" w:cs="仿宋_GB2312" w:eastAsia="仿宋_GB2312"/>
              </w:rPr>
              <w:t>参与的供应商（联合体）服务全部由符合政策要求的小微企业承接，监狱企业或残疾人福利性单位视为小微企业。</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参与的供应商（联合体）服务全部由符合政策要求的小微企业承接，监狱企业或残疾人福利性单位视为小微企业。</w:t>
            </w:r>
          </w:p>
        </w:tc>
        <w:tc>
          <w:tcPr>
            <w:tcW w:type="dxa" w:w="1661"/>
          </w:tcPr>
          <w:p>
            <w:pPr>
              <w:pStyle w:val="null3"/>
            </w:pPr>
            <w:r>
              <w:rPr>
                <w:rFonts w:ascii="仿宋_GB2312" w:hAnsi="仿宋_GB2312" w:cs="仿宋_GB2312" w:eastAsia="仿宋_GB2312"/>
              </w:rPr>
              <w:t>投标人应提交的相关资格证明材料.docx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签暑、盖章</w:t>
            </w:r>
          </w:p>
        </w:tc>
        <w:tc>
          <w:tcPr>
            <w:tcW w:type="dxa" w:w="3322"/>
          </w:tcPr>
          <w:p>
            <w:pPr>
              <w:pStyle w:val="null3"/>
            </w:pPr>
            <w:r>
              <w:rPr>
                <w:rFonts w:ascii="仿宋_GB2312" w:hAnsi="仿宋_GB2312" w:cs="仿宋_GB2312" w:eastAsia="仿宋_GB2312"/>
              </w:rPr>
              <w:t>投标文件未按招标文件要求签暑、盖章的不予通过</w:t>
            </w:r>
          </w:p>
        </w:tc>
        <w:tc>
          <w:tcPr>
            <w:tcW w:type="dxa" w:w="1661"/>
          </w:tcPr>
          <w:p>
            <w:pPr>
              <w:pStyle w:val="null3"/>
            </w:pPr>
            <w:r>
              <w:rPr>
                <w:rFonts w:ascii="仿宋_GB2312" w:hAnsi="仿宋_GB2312" w:cs="仿宋_GB2312" w:eastAsia="仿宋_GB2312"/>
              </w:rPr>
              <w:t>开标一览表 投标人应提交的相关资格证明材料.docx 服务内容及服务邀请应答表 投标函 中小企业声明函 残疾人福利性单位声明函 商务应答表 服务方案 标的清单 投标文件封面 报价明细表.docx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投标人报价超过最高限价总价的不予通过</w:t>
            </w:r>
          </w:p>
        </w:tc>
        <w:tc>
          <w:tcPr>
            <w:tcW w:type="dxa" w:w="1661"/>
          </w:tcPr>
          <w:p>
            <w:pPr>
              <w:pStyle w:val="null3"/>
            </w:pPr>
            <w:r>
              <w:rPr>
                <w:rFonts w:ascii="仿宋_GB2312" w:hAnsi="仿宋_GB2312" w:cs="仿宋_GB2312" w:eastAsia="仿宋_GB2312"/>
              </w:rPr>
              <w:t>开标一览表 投标函 标的清单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投标内容出现滑项或数量与要求不符或投标内容的技术指标达不到招标文件要求，造成采购档次降低或影响采购性能、功能不予通过</w:t>
            </w:r>
          </w:p>
        </w:tc>
        <w:tc>
          <w:tcPr>
            <w:tcW w:type="dxa" w:w="1661"/>
          </w:tcPr>
          <w:p>
            <w:pPr>
              <w:pStyle w:val="null3"/>
            </w:pPr>
            <w:r>
              <w:rPr>
                <w:rFonts w:ascii="仿宋_GB2312" w:hAnsi="仿宋_GB2312" w:cs="仿宋_GB2312" w:eastAsia="仿宋_GB2312"/>
              </w:rPr>
              <w:t>开标一览表 投标人应提交的相关资格证明材料.docx 服务内容及服务邀请应答表 投标函 中小企业声明函 残疾人福利性单位声明函 商务应答表 服务方案 标的清单 投标文件封面 报价明细表.docx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存在其它不符合法律法规或招标文件规定的投标无效条款不予通过</w:t>
            </w:r>
          </w:p>
        </w:tc>
        <w:tc>
          <w:tcPr>
            <w:tcW w:type="dxa" w:w="1661"/>
          </w:tcPr>
          <w:p>
            <w:pPr>
              <w:pStyle w:val="null3"/>
            </w:pPr>
            <w:r>
              <w:rPr>
                <w:rFonts w:ascii="仿宋_GB2312" w:hAnsi="仿宋_GB2312" w:cs="仿宋_GB2312" w:eastAsia="仿宋_GB2312"/>
              </w:rPr>
              <w:t>开标一览表 投标人应提交的相关资格证明材料.docx 服务内容及服务邀请应答表 投标函 中小企业声明函 残疾人福利性单位声明函 商务应答表 服务方案 标的清单 投标文件封面 报价明细表.docx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对本项目的工作内容理解清晰、全面，能清楚描述本次工作任务目标</w:t>
            </w:r>
          </w:p>
        </w:tc>
        <w:tc>
          <w:tcPr>
            <w:tcW w:type="dxa" w:w="2492"/>
          </w:tcPr>
          <w:p>
            <w:pPr>
              <w:pStyle w:val="null3"/>
            </w:pPr>
            <w:r>
              <w:rPr>
                <w:rFonts w:ascii="仿宋_GB2312" w:hAnsi="仿宋_GB2312" w:cs="仿宋_GB2312" w:eastAsia="仿宋_GB2312"/>
              </w:rPr>
              <w:t>①分析详尽全面，具体描述合理得当得(6-8]分；②分析比较全面，具体描述比较合理得（4-6]分；③分析不充分，具体描述有欠妥当得[1-4]分；④未提供得0分。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项目整体实施服务方案</w:t>
            </w:r>
          </w:p>
        </w:tc>
        <w:tc>
          <w:tcPr>
            <w:tcW w:type="dxa" w:w="2492"/>
          </w:tcPr>
          <w:p>
            <w:pPr>
              <w:pStyle w:val="null3"/>
            </w:pPr>
            <w:r>
              <w:rPr>
                <w:rFonts w:ascii="仿宋_GB2312" w:hAnsi="仿宋_GB2312" w:cs="仿宋_GB2312" w:eastAsia="仿宋_GB2312"/>
              </w:rPr>
              <w:t>①项目实施服务方案详实、具体、切实可行、科学合理，针对性强，赋分(6-8]分；②项目实施服务方案较细致、大部分响应内容切实可行、合理，赋分（4-6]分；③项目实施服务方案模糊、目标不明确赋分[1-4]分。 ④未提供得0分。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应急（突发）事件的处置措施</w:t>
            </w:r>
          </w:p>
        </w:tc>
        <w:tc>
          <w:tcPr>
            <w:tcW w:type="dxa" w:w="2492"/>
          </w:tcPr>
          <w:p>
            <w:pPr>
              <w:pStyle w:val="null3"/>
            </w:pPr>
            <w:r>
              <w:rPr>
                <w:rFonts w:ascii="仿宋_GB2312" w:hAnsi="仿宋_GB2312" w:cs="仿宋_GB2312" w:eastAsia="仿宋_GB2312"/>
              </w:rPr>
              <w:t>①紧急情况分析详尽全面，应对措施合理得当得(6-8]分；②紧急情况分析比较全面，应对措施比较合理得（4-6]分； ③紧急情况分析不充分，应对措施有欠妥当得[1-4]分；④未提供得0分。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项目实施进度计划控制措施</w:t>
            </w:r>
          </w:p>
        </w:tc>
        <w:tc>
          <w:tcPr>
            <w:tcW w:type="dxa" w:w="2492"/>
          </w:tcPr>
          <w:p>
            <w:pPr>
              <w:pStyle w:val="null3"/>
            </w:pPr>
            <w:r>
              <w:rPr>
                <w:rFonts w:ascii="仿宋_GB2312" w:hAnsi="仿宋_GB2312" w:cs="仿宋_GB2312" w:eastAsia="仿宋_GB2312"/>
              </w:rPr>
              <w:t>①科学合理，针对性强，确保工作优质、高效、如期完成，赋分(6-8]分；②进度控制方法可行、控制措施大致合理，基本能完成工作任务，赋分（4-6]分；③进度控制不合理，措施内容不详实，赋分[1-4]分。④未提供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针对本项目市政公用照明保障措施，提供突击性保障团队，提前排除故障隐患的执行方案，并提供详细可行的应急方案、重点难点分析及措施。</w:t>
            </w:r>
          </w:p>
        </w:tc>
        <w:tc>
          <w:tcPr>
            <w:tcW w:type="dxa" w:w="2492"/>
          </w:tcPr>
          <w:p>
            <w:pPr>
              <w:pStyle w:val="null3"/>
            </w:pPr>
            <w:r>
              <w:rPr>
                <w:rFonts w:ascii="仿宋_GB2312" w:hAnsi="仿宋_GB2312" w:cs="仿宋_GB2312" w:eastAsia="仿宋_GB2312"/>
              </w:rPr>
              <w:t>①方案详尽全面，具体措施合理得当得(6-8]分；②方案比较全面，具体措施比较合理得（4-6]分；③方案不充分，具体措施有欠妥当得 [1-4]分。④未提供得0分。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根据项目具体情况制定详细服务保障措施，包括服务人员与采购人工 作配合的保障措施；保证区域内电力及亮化的正常运行的保障措施；服务质量的保障措施；设施、设备管理、维护有具体的保障措施。</w:t>
            </w:r>
          </w:p>
        </w:tc>
        <w:tc>
          <w:tcPr>
            <w:tcW w:type="dxa" w:w="2492"/>
          </w:tcPr>
          <w:p>
            <w:pPr>
              <w:pStyle w:val="null3"/>
            </w:pPr>
            <w:r>
              <w:rPr>
                <w:rFonts w:ascii="仿宋_GB2312" w:hAnsi="仿宋_GB2312" w:cs="仿宋_GB2312" w:eastAsia="仿宋_GB2312"/>
              </w:rPr>
              <w:t>①保障措施科学合理，针对性强，确保工作优质、高效、高质量完成，赋分(6-8]分；②保障措施方法可行、措施内容大致合理，基本能完成工作任务，赋分(4-6]分；③措施方法不合理，措施内容不详实，赋分[1-4]分。④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有定期回访服务，相关部门负责人的安排方案及意见反馈机制，确保 服务对象满意</w:t>
            </w:r>
          </w:p>
        </w:tc>
        <w:tc>
          <w:tcPr>
            <w:tcW w:type="dxa" w:w="2492"/>
          </w:tcPr>
          <w:p>
            <w:pPr>
              <w:pStyle w:val="null3"/>
            </w:pPr>
            <w:r>
              <w:rPr>
                <w:rFonts w:ascii="仿宋_GB2312" w:hAnsi="仿宋_GB2312" w:cs="仿宋_GB2312" w:eastAsia="仿宋_GB2312"/>
              </w:rPr>
              <w:t>①反馈机制详实、具体、切实可行、科学合理，针对性强，赋分(5-7]分；②反馈机制较细致、大部分响应内容切实可行、合理，赋分(3-5]分；③反馈机制方案模糊、目标不明确赋分[1-3]分；④未提供得0分。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1、人员配置方案，年龄结构、从业经验、技术力量等，按其响应程度计 0-5 分； 2、项目经理有丰富的相关领域工作经验或者曾承担过相关工作的主要负责人(须提供证明材料)，按其响应程度计0-5分； 3、拟投入的维护设施设备、检测设备仪器等齐全，满足本项目工作内容，按其响应程度计0-5分。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1.对本次项目的服务承诺（包含但不限于针对本项目的各项服务质量目标、保障措施及服务人员入场计划等内容），承诺各管理项目指标达到相关标准，根据响应程度得1～5分； 2.投标人提供切实可行的保密措施及承诺，对其所获取的信息保密,根据响应程度得1～5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投标人具有2022年1月1日至今(以合同签订时间为准)承担过类似项目业绩得2.5分，投标文件中提供合同复印件并加盖投标人公章，本项满分10分。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投标报价得分=（评标基准价/投标报价）×价格权值×100 备注：因本项目专门面向小微企业采购，磋商报价得分针对《政府采购促进中小企业发展管理办法》的通知--财库[2020]46号不再进行扣除。 本项目所属行业：其他未列明行业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