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A12F5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707" w:firstLineChars="200"/>
        <w:jc w:val="center"/>
        <w:textAlignment w:val="baseline"/>
        <w:outlineLvl w:val="0"/>
        <w:rPr>
          <w:rFonts w:hint="eastAsia" w:ascii="仿宋" w:hAnsi="仿宋" w:eastAsia="仿宋" w:cs="仿宋"/>
          <w:sz w:val="36"/>
          <w:szCs w:val="36"/>
        </w:rPr>
      </w:pPr>
      <w:r>
        <w:rPr>
          <w:rFonts w:hint="eastAsia" w:ascii="仿宋" w:hAnsi="仿宋" w:eastAsia="仿宋" w:cs="仿宋"/>
          <w:b/>
          <w:bCs/>
          <w:spacing w:val="-4"/>
          <w:sz w:val="36"/>
          <w:szCs w:val="36"/>
        </w:rPr>
        <w:t>拟签订的合同文本</w:t>
      </w:r>
    </w:p>
    <w:p w14:paraId="3C473AE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8" w:firstLineChars="200"/>
        <w:jc w:val="both"/>
        <w:textAlignment w:val="baseline"/>
        <w:rPr>
          <w:rFonts w:hint="eastAsia" w:ascii="仿宋" w:hAnsi="仿宋" w:eastAsia="仿宋" w:cs="仿宋"/>
          <w:spacing w:val="2"/>
          <w:sz w:val="24"/>
          <w:szCs w:val="24"/>
        </w:rPr>
      </w:pPr>
      <w:r>
        <w:rPr>
          <w:rFonts w:hint="eastAsia" w:ascii="仿宋" w:hAnsi="仿宋" w:eastAsia="仿宋" w:cs="仿宋"/>
          <w:spacing w:val="2"/>
          <w:sz w:val="24"/>
          <w:szCs w:val="24"/>
        </w:rPr>
        <w:t>甲方：</w:t>
      </w:r>
    </w:p>
    <w:p w14:paraId="00D33A2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8" w:firstLineChars="200"/>
        <w:jc w:val="both"/>
        <w:textAlignment w:val="baseline"/>
        <w:rPr>
          <w:rFonts w:hint="eastAsia" w:ascii="仿宋" w:hAnsi="仿宋" w:eastAsia="仿宋" w:cs="仿宋"/>
          <w:spacing w:val="2"/>
          <w:sz w:val="24"/>
          <w:szCs w:val="24"/>
        </w:rPr>
      </w:pPr>
      <w:r>
        <w:rPr>
          <w:rFonts w:hint="eastAsia" w:ascii="仿宋" w:hAnsi="仿宋" w:eastAsia="仿宋" w:cs="仿宋"/>
          <w:spacing w:val="2"/>
          <w:sz w:val="24"/>
          <w:szCs w:val="24"/>
        </w:rPr>
        <w:t>乙方：</w:t>
      </w:r>
    </w:p>
    <w:p w14:paraId="555CD8D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8" w:firstLineChars="200"/>
        <w:jc w:val="both"/>
        <w:textAlignment w:val="baseline"/>
        <w:rPr>
          <w:rFonts w:hint="eastAsia" w:ascii="仿宋" w:hAnsi="仿宋" w:eastAsia="仿宋" w:cs="仿宋"/>
          <w:spacing w:val="2"/>
          <w:sz w:val="24"/>
          <w:szCs w:val="24"/>
        </w:rPr>
      </w:pPr>
      <w:r>
        <w:rPr>
          <w:rFonts w:hint="eastAsia" w:ascii="仿宋" w:hAnsi="仿宋" w:eastAsia="仿宋" w:cs="仿宋"/>
          <w:spacing w:val="2"/>
          <w:sz w:val="24"/>
          <w:szCs w:val="24"/>
        </w:rPr>
        <w:t>依照《中华人民共和国民法典》、《中华人民共和国建筑法》及其他有关法律、行政法规，并结合本工程具体情况，遵循平等、自愿、公平和诚实信用的原则，经双方协商一致订立本合同。</w:t>
      </w:r>
    </w:p>
    <w:p w14:paraId="06C83BB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6" w:firstLineChars="200"/>
        <w:textAlignment w:val="baseline"/>
        <w:rPr>
          <w:rFonts w:hint="eastAsia" w:ascii="仿宋" w:hAnsi="仿宋" w:eastAsia="仿宋" w:cs="仿宋"/>
          <w:sz w:val="24"/>
          <w:szCs w:val="24"/>
        </w:rPr>
      </w:pPr>
      <w:r>
        <w:rPr>
          <w:rFonts w:hint="eastAsia" w:ascii="仿宋" w:hAnsi="仿宋" w:eastAsia="仿宋" w:cs="仿宋"/>
          <w:b/>
          <w:bCs/>
          <w:spacing w:val="-4"/>
          <w:sz w:val="24"/>
          <w:szCs w:val="24"/>
        </w:rPr>
        <w:t>一</w:t>
      </w:r>
      <w:r>
        <w:rPr>
          <w:rFonts w:hint="eastAsia" w:ascii="仿宋" w:hAnsi="仿宋" w:eastAsia="仿宋" w:cs="仿宋"/>
          <w:spacing w:val="-47"/>
          <w:sz w:val="24"/>
          <w:szCs w:val="24"/>
        </w:rPr>
        <w:t xml:space="preserve"> </w:t>
      </w:r>
      <w:r>
        <w:rPr>
          <w:rFonts w:hint="eastAsia" w:ascii="仿宋" w:hAnsi="仿宋" w:eastAsia="仿宋" w:cs="仿宋"/>
          <w:b/>
          <w:bCs/>
          <w:spacing w:val="-4"/>
          <w:sz w:val="24"/>
          <w:szCs w:val="24"/>
        </w:rPr>
        <w:t>、项目概况</w:t>
      </w:r>
    </w:p>
    <w:p w14:paraId="7FCA9A4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8" w:firstLineChars="200"/>
        <w:textAlignment w:val="baseline"/>
        <w:rPr>
          <w:rFonts w:hint="eastAsia" w:ascii="仿宋" w:hAnsi="仿宋" w:eastAsia="仿宋" w:cs="仿宋"/>
          <w:sz w:val="24"/>
          <w:szCs w:val="24"/>
        </w:rPr>
      </w:pPr>
      <w:r>
        <w:rPr>
          <w:rFonts w:hint="eastAsia" w:ascii="仿宋" w:hAnsi="仿宋" w:eastAsia="仿宋" w:cs="仿宋"/>
          <w:spacing w:val="2"/>
          <w:sz w:val="24"/>
          <w:szCs w:val="24"/>
        </w:rPr>
        <w:t>1、项目名称：</w:t>
      </w:r>
    </w:p>
    <w:p w14:paraId="13C7B8B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8" w:firstLineChars="200"/>
        <w:textAlignment w:val="baseline"/>
        <w:rPr>
          <w:rFonts w:hint="eastAsia" w:ascii="仿宋" w:hAnsi="仿宋" w:eastAsia="仿宋" w:cs="仿宋"/>
          <w:sz w:val="24"/>
          <w:szCs w:val="24"/>
        </w:rPr>
      </w:pPr>
      <w:r>
        <w:rPr>
          <w:rFonts w:hint="eastAsia" w:ascii="仿宋" w:hAnsi="仿宋" w:eastAsia="仿宋" w:cs="仿宋"/>
          <w:spacing w:val="2"/>
          <w:sz w:val="24"/>
          <w:szCs w:val="24"/>
        </w:rPr>
        <w:t>2、项目地点：</w:t>
      </w:r>
    </w:p>
    <w:p w14:paraId="2A18C72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0" w:firstLineChars="200"/>
        <w:textAlignment w:val="baseline"/>
        <w:rPr>
          <w:rFonts w:hint="eastAsia" w:ascii="仿宋" w:hAnsi="仿宋" w:eastAsia="仿宋" w:cs="仿宋"/>
          <w:sz w:val="24"/>
          <w:szCs w:val="24"/>
        </w:rPr>
      </w:pPr>
      <w:r>
        <w:rPr>
          <w:rFonts w:hint="eastAsia" w:ascii="仿宋" w:hAnsi="仿宋" w:eastAsia="仿宋" w:cs="仿宋"/>
          <w:spacing w:val="5"/>
          <w:sz w:val="24"/>
          <w:szCs w:val="24"/>
        </w:rPr>
        <w:t>3、项目承包内容：</w:t>
      </w:r>
    </w:p>
    <w:p w14:paraId="3D7F4BC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4、服务期：</w:t>
      </w:r>
      <w:r>
        <w:rPr>
          <w:rFonts w:hint="eastAsia" w:ascii="仿宋" w:hAnsi="仿宋" w:eastAsia="仿宋" w:cs="仿宋"/>
          <w:spacing w:val="-26"/>
          <w:sz w:val="24"/>
          <w:szCs w:val="24"/>
        </w:rPr>
        <w:t xml:space="preserve"> </w:t>
      </w:r>
    </w:p>
    <w:p w14:paraId="3F4433B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6" w:firstLineChars="200"/>
        <w:textAlignment w:val="baseline"/>
        <w:rPr>
          <w:rFonts w:hint="eastAsia" w:ascii="仿宋" w:hAnsi="仿宋" w:eastAsia="仿宋" w:cs="仿宋"/>
          <w:sz w:val="24"/>
          <w:szCs w:val="24"/>
        </w:rPr>
      </w:pPr>
      <w:r>
        <w:rPr>
          <w:rFonts w:hint="eastAsia" w:ascii="仿宋" w:hAnsi="仿宋" w:eastAsia="仿宋" w:cs="仿宋"/>
          <w:b/>
          <w:bCs/>
          <w:spacing w:val="-4"/>
          <w:sz w:val="24"/>
          <w:szCs w:val="24"/>
        </w:rPr>
        <w:t>二</w:t>
      </w:r>
      <w:r>
        <w:rPr>
          <w:rFonts w:hint="eastAsia" w:ascii="仿宋" w:hAnsi="仿宋" w:eastAsia="仿宋" w:cs="仿宋"/>
          <w:spacing w:val="-48"/>
          <w:sz w:val="24"/>
          <w:szCs w:val="24"/>
        </w:rPr>
        <w:t xml:space="preserve"> </w:t>
      </w:r>
      <w:r>
        <w:rPr>
          <w:rFonts w:hint="eastAsia" w:ascii="仿宋" w:hAnsi="仿宋" w:eastAsia="仿宋" w:cs="仿宋"/>
          <w:b/>
          <w:bCs/>
          <w:spacing w:val="-4"/>
          <w:sz w:val="24"/>
          <w:szCs w:val="24"/>
        </w:rPr>
        <w:t>、合同价款</w:t>
      </w:r>
    </w:p>
    <w:p w14:paraId="3BF2457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8" w:firstLineChars="200"/>
        <w:jc w:val="both"/>
        <w:textAlignment w:val="baseline"/>
        <w:rPr>
          <w:rFonts w:hint="eastAsia" w:ascii="仿宋" w:hAnsi="仿宋" w:eastAsia="仿宋" w:cs="仿宋"/>
          <w:spacing w:val="2"/>
          <w:sz w:val="24"/>
          <w:szCs w:val="24"/>
        </w:rPr>
      </w:pPr>
      <w:r>
        <w:rPr>
          <w:rFonts w:hint="eastAsia" w:ascii="仿宋" w:hAnsi="仿宋" w:eastAsia="仿宋" w:cs="仿宋"/>
          <w:spacing w:val="2"/>
          <w:sz w:val="24"/>
          <w:szCs w:val="24"/>
        </w:rPr>
        <w:t>1.1本合同采用全费用综合单价(含税)包干，最终总价款以中标单价*发生工程量据实 结算，当结算金额达到上限金额时或服务期满时，合同自动终止。</w:t>
      </w:r>
    </w:p>
    <w:p w14:paraId="5F4EBBD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8" w:firstLineChars="200"/>
        <w:jc w:val="both"/>
        <w:textAlignment w:val="baseline"/>
        <w:rPr>
          <w:rFonts w:hint="eastAsia" w:ascii="仿宋" w:hAnsi="仿宋" w:eastAsia="仿宋" w:cs="仿宋"/>
          <w:spacing w:val="2"/>
          <w:sz w:val="24"/>
          <w:szCs w:val="24"/>
        </w:rPr>
      </w:pPr>
      <w:r>
        <w:rPr>
          <w:rFonts w:hint="eastAsia" w:ascii="仿宋" w:hAnsi="仿宋" w:eastAsia="仿宋" w:cs="仿宋"/>
          <w:spacing w:val="2"/>
          <w:sz w:val="24"/>
          <w:szCs w:val="24"/>
        </w:rPr>
        <w:t>1.2合同服务期：</w:t>
      </w:r>
    </w:p>
    <w:p w14:paraId="012771F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8" w:firstLineChars="200"/>
        <w:jc w:val="both"/>
        <w:textAlignment w:val="baseline"/>
        <w:rPr>
          <w:rFonts w:hint="eastAsia" w:ascii="仿宋" w:hAnsi="仿宋" w:eastAsia="仿宋" w:cs="仿宋"/>
          <w:spacing w:val="2"/>
          <w:sz w:val="24"/>
          <w:szCs w:val="24"/>
        </w:rPr>
      </w:pPr>
      <w:r>
        <w:rPr>
          <w:rFonts w:hint="eastAsia" w:ascii="仿宋" w:hAnsi="仿宋" w:eastAsia="仿宋" w:cs="仿宋"/>
          <w:spacing w:val="2"/>
          <w:sz w:val="24"/>
          <w:szCs w:val="24"/>
        </w:rPr>
        <w:t>2、合同价款的约定</w:t>
      </w:r>
    </w:p>
    <w:p w14:paraId="2FA2111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8" w:firstLineChars="200"/>
        <w:jc w:val="both"/>
        <w:textAlignment w:val="baseline"/>
        <w:rPr>
          <w:rFonts w:hint="eastAsia" w:ascii="仿宋" w:hAnsi="仿宋" w:eastAsia="仿宋" w:cs="仿宋"/>
          <w:spacing w:val="2"/>
          <w:sz w:val="24"/>
          <w:szCs w:val="24"/>
          <w:lang w:eastAsia="zh-CN"/>
        </w:rPr>
      </w:pPr>
      <w:r>
        <w:rPr>
          <w:rFonts w:hint="eastAsia" w:ascii="仿宋" w:hAnsi="仿宋" w:eastAsia="仿宋" w:cs="仿宋"/>
          <w:spacing w:val="2"/>
          <w:sz w:val="24"/>
          <w:szCs w:val="24"/>
        </w:rPr>
        <w:t>2.1、本项目的投标报价采用全费用综合单价(含税)计价方式进行报价。详见附件1</w:t>
      </w:r>
      <w:r>
        <w:rPr>
          <w:rFonts w:hint="eastAsia" w:ascii="仿宋" w:hAnsi="仿宋" w:eastAsia="仿宋" w:cs="仿宋"/>
          <w:spacing w:val="2"/>
          <w:sz w:val="24"/>
          <w:szCs w:val="24"/>
          <w:lang w:eastAsia="zh-CN"/>
        </w:rPr>
        <w:t>。</w:t>
      </w:r>
    </w:p>
    <w:p w14:paraId="57AA20F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8" w:firstLineChars="200"/>
        <w:jc w:val="both"/>
        <w:textAlignment w:val="baseline"/>
        <w:rPr>
          <w:rFonts w:hint="eastAsia" w:ascii="仿宋" w:hAnsi="仿宋" w:eastAsia="仿宋" w:cs="仿宋"/>
          <w:spacing w:val="2"/>
          <w:sz w:val="24"/>
          <w:szCs w:val="24"/>
        </w:rPr>
      </w:pPr>
      <w:r>
        <w:rPr>
          <w:rFonts w:hint="eastAsia" w:ascii="仿宋" w:hAnsi="仿宋" w:eastAsia="仿宋" w:cs="仿宋"/>
          <w:spacing w:val="2"/>
          <w:sz w:val="24"/>
          <w:szCs w:val="24"/>
        </w:rPr>
        <w:t>2.2、结算时依据管理单位负责人确认的工程量确认单据实结算，工程量确认需提供施 工前后的照片以及现场尺寸图或点位图。</w:t>
      </w:r>
    </w:p>
    <w:p w14:paraId="61D5068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8" w:firstLineChars="200"/>
        <w:jc w:val="both"/>
        <w:textAlignment w:val="baseline"/>
        <w:rPr>
          <w:rFonts w:hint="eastAsia" w:ascii="仿宋" w:hAnsi="仿宋" w:eastAsia="仿宋" w:cs="仿宋"/>
          <w:spacing w:val="2"/>
          <w:sz w:val="24"/>
          <w:szCs w:val="24"/>
        </w:rPr>
      </w:pPr>
      <w:r>
        <w:rPr>
          <w:rFonts w:hint="eastAsia" w:ascii="仿宋" w:hAnsi="仿宋" w:eastAsia="仿宋" w:cs="仿宋"/>
          <w:spacing w:val="2"/>
          <w:sz w:val="24"/>
          <w:szCs w:val="24"/>
        </w:rPr>
        <w:t>2.3、全费用综合单价(含税)中包括的风险范围：人工、劳保统筹、材料、机械价格等一切费用的变化。以上风险乙方充分知晓并同意自主考虑，风险费用包含在附件1中，乙方承诺工程结算时不再做调整。</w:t>
      </w:r>
    </w:p>
    <w:p w14:paraId="61A3FFA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8" w:firstLineChars="200"/>
        <w:jc w:val="both"/>
        <w:textAlignment w:val="baseline"/>
        <w:rPr>
          <w:rFonts w:hint="eastAsia" w:ascii="仿宋" w:hAnsi="仿宋" w:eastAsia="仿宋" w:cs="仿宋"/>
          <w:spacing w:val="2"/>
          <w:sz w:val="24"/>
          <w:szCs w:val="24"/>
        </w:rPr>
      </w:pPr>
      <w:r>
        <w:rPr>
          <w:rFonts w:hint="eastAsia" w:ascii="仿宋" w:hAnsi="仿宋" w:eastAsia="仿宋" w:cs="仿宋"/>
          <w:spacing w:val="2"/>
          <w:sz w:val="24"/>
          <w:szCs w:val="24"/>
        </w:rPr>
        <w:t>2.4、维修维护清单范围以外综合单价调整依据：根据施工当期税金调整文件、材料认质认价单、相关价格调整文件。若双方无法协商确定，最终综合单价以甲方认定为准，乙方 对此充分知晓且同意。</w:t>
      </w:r>
    </w:p>
    <w:p w14:paraId="4898607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8" w:firstLineChars="200"/>
        <w:jc w:val="both"/>
        <w:textAlignment w:val="baseline"/>
        <w:rPr>
          <w:rFonts w:hint="eastAsia" w:ascii="仿宋" w:hAnsi="仿宋" w:eastAsia="仿宋" w:cs="仿宋"/>
          <w:spacing w:val="2"/>
          <w:sz w:val="24"/>
          <w:szCs w:val="24"/>
        </w:rPr>
      </w:pPr>
      <w:r>
        <w:rPr>
          <w:rFonts w:hint="eastAsia" w:ascii="仿宋" w:hAnsi="仿宋" w:eastAsia="仿宋" w:cs="仿宋"/>
          <w:spacing w:val="2"/>
          <w:sz w:val="24"/>
          <w:szCs w:val="24"/>
        </w:rPr>
        <w:t>2.5、本项目所有材料、设备均由乙方自行采购。暂定价材料和招标时没有的主要材料， 在采购前均需报甲方认质认价，结算时在投标综合单价的基础上按甲方的认质认价单进行调整，调整时仅计算材料价差、规费和税金。无法确定的，以甲方确定为准，乙方对此充分知晓且同意。</w:t>
      </w:r>
    </w:p>
    <w:p w14:paraId="17F4C4A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8" w:firstLineChars="200"/>
        <w:jc w:val="both"/>
        <w:textAlignment w:val="baseline"/>
        <w:rPr>
          <w:rFonts w:hint="eastAsia" w:ascii="仿宋" w:hAnsi="仿宋" w:eastAsia="仿宋" w:cs="仿宋"/>
          <w:spacing w:val="2"/>
          <w:sz w:val="24"/>
          <w:szCs w:val="24"/>
        </w:rPr>
      </w:pPr>
      <w:r>
        <w:rPr>
          <w:rFonts w:hint="eastAsia" w:ascii="仿宋" w:hAnsi="仿宋" w:eastAsia="仿宋" w:cs="仿宋"/>
          <w:spacing w:val="2"/>
          <w:sz w:val="24"/>
          <w:szCs w:val="24"/>
        </w:rPr>
        <w:t>2.6、税金有政策变化的，按时调整。</w:t>
      </w:r>
    </w:p>
    <w:p w14:paraId="69DB1DF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8" w:firstLineChars="200"/>
        <w:jc w:val="both"/>
        <w:textAlignment w:val="baseline"/>
        <w:rPr>
          <w:rFonts w:hint="eastAsia" w:ascii="仿宋" w:hAnsi="仿宋" w:eastAsia="仿宋" w:cs="仿宋"/>
          <w:spacing w:val="2"/>
          <w:sz w:val="24"/>
          <w:szCs w:val="24"/>
        </w:rPr>
      </w:pPr>
      <w:r>
        <w:rPr>
          <w:rFonts w:hint="eastAsia" w:ascii="仿宋" w:hAnsi="仿宋" w:eastAsia="仿宋" w:cs="仿宋"/>
          <w:spacing w:val="2"/>
          <w:sz w:val="24"/>
          <w:szCs w:val="24"/>
        </w:rPr>
        <w:t>2.7、工程变更、签证价款按下列方法确定：</w:t>
      </w:r>
    </w:p>
    <w:p w14:paraId="5F5E5D9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8" w:firstLineChars="200"/>
        <w:jc w:val="both"/>
        <w:textAlignment w:val="baseline"/>
        <w:rPr>
          <w:rFonts w:hint="eastAsia" w:ascii="仿宋" w:hAnsi="仿宋" w:eastAsia="仿宋" w:cs="仿宋"/>
          <w:spacing w:val="2"/>
          <w:sz w:val="24"/>
          <w:szCs w:val="24"/>
        </w:rPr>
      </w:pPr>
      <w:r>
        <w:rPr>
          <w:rFonts w:hint="eastAsia" w:ascii="仿宋" w:hAnsi="仿宋" w:eastAsia="仿宋" w:cs="仿宋"/>
          <w:spacing w:val="2"/>
          <w:sz w:val="24"/>
          <w:szCs w:val="24"/>
        </w:rPr>
        <w:t>①合同中已有适用于签证工程的综合单价，按相应项目合同已确认的综合单价办理结算；</w:t>
      </w:r>
    </w:p>
    <w:p w14:paraId="46758EE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8" w:firstLineChars="200"/>
        <w:jc w:val="both"/>
        <w:textAlignment w:val="baseline"/>
        <w:rPr>
          <w:rFonts w:hint="eastAsia" w:ascii="仿宋" w:hAnsi="仿宋" w:eastAsia="仿宋" w:cs="仿宋"/>
          <w:spacing w:val="2"/>
          <w:sz w:val="24"/>
          <w:szCs w:val="24"/>
        </w:rPr>
      </w:pPr>
      <w:r>
        <w:rPr>
          <w:rFonts w:hint="eastAsia" w:ascii="仿宋" w:hAnsi="仿宋" w:eastAsia="仿宋" w:cs="仿宋"/>
          <w:spacing w:val="2"/>
          <w:sz w:val="24"/>
          <w:szCs w:val="24"/>
        </w:rPr>
        <w:t>②合同中只有类似于签证工程的综合单价，只调整相应的主材费，主材单价按投标文件 主材价格计算，若投标文件中无主材单价时，按甲方认定价格进行调整，调整时仅计算材料 价差和税金；</w:t>
      </w:r>
    </w:p>
    <w:p w14:paraId="7F47613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8" w:firstLineChars="200"/>
        <w:jc w:val="both"/>
        <w:textAlignment w:val="baseline"/>
        <w:rPr>
          <w:rFonts w:hint="eastAsia" w:ascii="仿宋" w:hAnsi="仿宋" w:eastAsia="仿宋" w:cs="仿宋"/>
          <w:spacing w:val="2"/>
          <w:sz w:val="24"/>
          <w:szCs w:val="24"/>
        </w:rPr>
      </w:pPr>
      <w:r>
        <w:rPr>
          <w:rFonts w:hint="eastAsia" w:ascii="仿宋" w:hAnsi="仿宋" w:eastAsia="仿宋" w:cs="仿宋"/>
          <w:spacing w:val="2"/>
          <w:sz w:val="24"/>
          <w:szCs w:val="24"/>
        </w:rPr>
        <w:t>③合同中没有适用或类似于工程签证的综合单价，由乙方按招标文件编制上限控制价</w:t>
      </w:r>
    </w:p>
    <w:p w14:paraId="40C857DA">
      <w:pPr>
        <w:keepNext w:val="0"/>
        <w:keepLines w:val="0"/>
        <w:pageBreakBefore w:val="0"/>
        <w:widowControl/>
        <w:kinsoku w:val="0"/>
        <w:wordWrap/>
        <w:overflowPunct/>
        <w:topLinePunct w:val="0"/>
        <w:autoSpaceDE w:val="0"/>
        <w:autoSpaceDN w:val="0"/>
        <w:bidi w:val="0"/>
        <w:adjustRightInd w:val="0"/>
        <w:snapToGrid w:val="0"/>
        <w:spacing w:line="360" w:lineRule="auto"/>
        <w:ind w:right="0"/>
        <w:jc w:val="both"/>
        <w:textAlignment w:val="baseline"/>
        <w:rPr>
          <w:rFonts w:hint="eastAsia" w:ascii="仿宋" w:hAnsi="仿宋" w:eastAsia="仿宋" w:cs="仿宋"/>
          <w:spacing w:val="2"/>
          <w:sz w:val="24"/>
          <w:szCs w:val="24"/>
        </w:rPr>
      </w:pPr>
      <w:r>
        <w:rPr>
          <w:rFonts w:hint="eastAsia" w:ascii="仿宋" w:hAnsi="仿宋" w:eastAsia="仿宋" w:cs="仿宋"/>
          <w:spacing w:val="2"/>
          <w:sz w:val="24"/>
          <w:szCs w:val="24"/>
        </w:rPr>
        <w:t>(拦标价)综合单价的原则组价，并下浮中标优惠比例确定综合单价(甲方认质认价的材料设备价不下浮)。</w:t>
      </w:r>
    </w:p>
    <w:p w14:paraId="79C926F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8" w:firstLineChars="200"/>
        <w:jc w:val="both"/>
        <w:textAlignment w:val="baseline"/>
        <w:rPr>
          <w:rFonts w:hint="eastAsia" w:ascii="仿宋" w:hAnsi="仿宋" w:eastAsia="仿宋" w:cs="仿宋"/>
          <w:spacing w:val="2"/>
          <w:sz w:val="24"/>
          <w:szCs w:val="24"/>
        </w:rPr>
      </w:pPr>
      <w:r>
        <w:rPr>
          <w:rFonts w:hint="eastAsia" w:ascii="仿宋" w:hAnsi="仿宋" w:eastAsia="仿宋" w:cs="仿宋"/>
          <w:spacing w:val="2"/>
          <w:sz w:val="24"/>
          <w:szCs w:val="24"/>
        </w:rPr>
        <w:t>2.8、工程结算时依据双方签字确认的工程量确认单、材料认质认价单、签证单及其他结算资料据实结算。</w:t>
      </w:r>
      <w:bookmarkStart w:id="1" w:name="_GoBack"/>
      <w:bookmarkEnd w:id="1"/>
    </w:p>
    <w:p w14:paraId="1881378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0" w:firstLineChars="200"/>
        <w:textAlignment w:val="baseline"/>
        <w:rPr>
          <w:rFonts w:hint="eastAsia" w:ascii="仿宋" w:hAnsi="仿宋" w:eastAsia="仿宋" w:cs="仿宋"/>
          <w:sz w:val="24"/>
          <w:szCs w:val="24"/>
        </w:rPr>
      </w:pPr>
      <w:r>
        <w:rPr>
          <w:rFonts w:hint="eastAsia" w:ascii="仿宋" w:hAnsi="仿宋" w:eastAsia="仿宋" w:cs="仿宋"/>
          <w:b/>
          <w:bCs/>
          <w:spacing w:val="2"/>
          <w:sz w:val="24"/>
          <w:szCs w:val="24"/>
        </w:rPr>
        <w:t>三</w:t>
      </w:r>
      <w:r>
        <w:rPr>
          <w:rFonts w:hint="eastAsia" w:ascii="仿宋" w:hAnsi="仿宋" w:eastAsia="仿宋" w:cs="仿宋"/>
          <w:spacing w:val="-58"/>
          <w:sz w:val="24"/>
          <w:szCs w:val="24"/>
        </w:rPr>
        <w:t xml:space="preserve"> </w:t>
      </w:r>
      <w:r>
        <w:rPr>
          <w:rFonts w:hint="eastAsia" w:ascii="仿宋" w:hAnsi="仿宋" w:eastAsia="仿宋" w:cs="仿宋"/>
          <w:b/>
          <w:bCs/>
          <w:spacing w:val="2"/>
          <w:sz w:val="24"/>
          <w:szCs w:val="24"/>
        </w:rPr>
        <w:t>、双方权利和义务</w:t>
      </w:r>
    </w:p>
    <w:p w14:paraId="2CBED7E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8" w:firstLineChars="200"/>
        <w:jc w:val="both"/>
        <w:textAlignment w:val="baseline"/>
        <w:rPr>
          <w:rFonts w:hint="eastAsia" w:ascii="仿宋" w:hAnsi="仿宋" w:eastAsia="仿宋" w:cs="仿宋"/>
          <w:spacing w:val="2"/>
          <w:sz w:val="24"/>
          <w:szCs w:val="24"/>
        </w:rPr>
      </w:pPr>
      <w:r>
        <w:rPr>
          <w:rFonts w:hint="eastAsia" w:ascii="仿宋" w:hAnsi="仿宋" w:eastAsia="仿宋" w:cs="仿宋"/>
          <w:spacing w:val="2"/>
          <w:sz w:val="24"/>
          <w:szCs w:val="24"/>
        </w:rPr>
        <w:t>1、甲方权利和义务</w:t>
      </w:r>
    </w:p>
    <w:p w14:paraId="57CDBE2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8" w:firstLineChars="200"/>
        <w:jc w:val="both"/>
        <w:textAlignment w:val="baseline"/>
        <w:rPr>
          <w:rFonts w:hint="eastAsia" w:ascii="仿宋" w:hAnsi="仿宋" w:eastAsia="仿宋" w:cs="仿宋"/>
          <w:spacing w:val="2"/>
          <w:sz w:val="24"/>
          <w:szCs w:val="24"/>
        </w:rPr>
      </w:pPr>
      <w:r>
        <w:rPr>
          <w:rFonts w:hint="eastAsia" w:ascii="仿宋" w:hAnsi="仿宋" w:eastAsia="仿宋" w:cs="仿宋"/>
          <w:spacing w:val="2"/>
          <w:sz w:val="24"/>
          <w:szCs w:val="24"/>
        </w:rPr>
        <w:t>负责对项目实施、质量、签证、材料的认质认价、费用支付、结算等进行管理。甲方派 驻工程师工作中的行为和指令均视为甲方具有法律效力的行为或指令。</w:t>
      </w:r>
    </w:p>
    <w:p w14:paraId="491D127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8" w:firstLineChars="200"/>
        <w:jc w:val="both"/>
        <w:textAlignment w:val="baseline"/>
        <w:rPr>
          <w:rFonts w:hint="eastAsia" w:ascii="仿宋" w:hAnsi="仿宋" w:eastAsia="仿宋" w:cs="仿宋"/>
          <w:sz w:val="24"/>
          <w:szCs w:val="24"/>
        </w:rPr>
      </w:pPr>
      <w:r>
        <w:rPr>
          <w:rFonts w:hint="eastAsia" w:ascii="仿宋" w:hAnsi="仿宋" w:eastAsia="仿宋" w:cs="仿宋"/>
          <w:spacing w:val="2"/>
          <w:sz w:val="24"/>
          <w:szCs w:val="24"/>
        </w:rPr>
        <w:t>甲方派驻的工程师  姓名</w:t>
      </w:r>
      <w:r>
        <w:rPr>
          <w:rFonts w:hint="eastAsia" w:ascii="仿宋" w:hAnsi="仿宋" w:eastAsia="仿宋" w:cs="仿宋"/>
          <w:spacing w:val="1"/>
          <w:sz w:val="24"/>
          <w:szCs w:val="24"/>
        </w:rPr>
        <w:t>：</w:t>
      </w:r>
      <w:r>
        <w:rPr>
          <w:rFonts w:hint="eastAsia" w:ascii="仿宋" w:hAnsi="仿宋" w:eastAsia="仿宋" w:cs="仿宋"/>
          <w:spacing w:val="-79"/>
          <w:sz w:val="24"/>
          <w:szCs w:val="24"/>
        </w:rPr>
        <w:t xml:space="preserve"> </w:t>
      </w:r>
      <w:r>
        <w:rPr>
          <w:rFonts w:hint="eastAsia" w:ascii="仿宋" w:hAnsi="仿宋" w:eastAsia="仿宋" w:cs="仿宋"/>
          <w:spacing w:val="6"/>
          <w:sz w:val="24"/>
          <w:szCs w:val="24"/>
          <w:u w:val="single" w:color="auto"/>
        </w:rPr>
        <w:t xml:space="preserve">         </w:t>
      </w:r>
      <w:r>
        <w:rPr>
          <w:rFonts w:hint="eastAsia" w:ascii="仿宋" w:hAnsi="仿宋" w:eastAsia="仿宋" w:cs="仿宋"/>
          <w:spacing w:val="-63"/>
          <w:sz w:val="24"/>
          <w:szCs w:val="24"/>
        </w:rPr>
        <w:t xml:space="preserve"> </w:t>
      </w:r>
      <w:r>
        <w:rPr>
          <w:rFonts w:hint="eastAsia" w:ascii="仿宋" w:hAnsi="仿宋" w:eastAsia="仿宋" w:cs="仿宋"/>
          <w:spacing w:val="1"/>
          <w:sz w:val="24"/>
          <w:szCs w:val="24"/>
        </w:rPr>
        <w:t>职务：</w:t>
      </w:r>
      <w:r>
        <w:rPr>
          <w:rFonts w:hint="eastAsia" w:ascii="仿宋" w:hAnsi="仿宋" w:eastAsia="仿宋" w:cs="仿宋"/>
          <w:spacing w:val="1"/>
          <w:sz w:val="24"/>
          <w:szCs w:val="24"/>
          <w:u w:val="single" w:color="auto"/>
        </w:rPr>
        <w:t xml:space="preserve">           </w:t>
      </w:r>
    </w:p>
    <w:p w14:paraId="6B74FDF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8" w:firstLineChars="200"/>
        <w:jc w:val="both"/>
        <w:textAlignment w:val="baseline"/>
        <w:rPr>
          <w:rFonts w:hint="eastAsia" w:ascii="仿宋" w:hAnsi="仿宋" w:eastAsia="仿宋" w:cs="仿宋"/>
          <w:spacing w:val="2"/>
          <w:sz w:val="24"/>
          <w:szCs w:val="24"/>
        </w:rPr>
      </w:pPr>
      <w:r>
        <w:rPr>
          <w:rFonts w:hint="eastAsia" w:ascii="仿宋" w:hAnsi="仿宋" w:eastAsia="仿宋" w:cs="仿宋"/>
          <w:spacing w:val="2"/>
          <w:sz w:val="24"/>
          <w:szCs w:val="24"/>
        </w:rPr>
        <w:t>1.1、甲方有权行使以下事宜：</w:t>
      </w:r>
    </w:p>
    <w:p w14:paraId="45CA096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8" w:firstLineChars="200"/>
        <w:jc w:val="both"/>
        <w:textAlignment w:val="baseline"/>
        <w:rPr>
          <w:rFonts w:hint="eastAsia" w:ascii="仿宋" w:hAnsi="仿宋" w:eastAsia="仿宋" w:cs="仿宋"/>
          <w:spacing w:val="2"/>
          <w:sz w:val="24"/>
          <w:szCs w:val="24"/>
        </w:rPr>
      </w:pPr>
      <w:r>
        <w:rPr>
          <w:rFonts w:hint="eastAsia" w:ascii="仿宋" w:hAnsi="仿宋" w:eastAsia="仿宋" w:cs="仿宋"/>
          <w:spacing w:val="2"/>
          <w:sz w:val="24"/>
          <w:szCs w:val="24"/>
        </w:rPr>
        <w:t>(1)乙方违法或违反本合同将工程转包的，甲方有权解除本合同，因此造成的一切损失由乙方承担。</w:t>
      </w:r>
    </w:p>
    <w:p w14:paraId="2B78A9B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8" w:firstLineChars="200"/>
        <w:jc w:val="both"/>
        <w:textAlignment w:val="baseline"/>
        <w:rPr>
          <w:rFonts w:hint="eastAsia" w:ascii="仿宋" w:hAnsi="仿宋" w:eastAsia="仿宋" w:cs="仿宋"/>
          <w:spacing w:val="2"/>
          <w:sz w:val="24"/>
          <w:szCs w:val="24"/>
        </w:rPr>
      </w:pPr>
      <w:r>
        <w:rPr>
          <w:rFonts w:hint="eastAsia" w:ascii="仿宋" w:hAnsi="仿宋" w:eastAsia="仿宋" w:cs="仿宋"/>
          <w:spacing w:val="2"/>
          <w:sz w:val="24"/>
          <w:szCs w:val="24"/>
        </w:rPr>
        <w:t>(2)在实施过程中如发现质量问题，甲方有权要求乙方限期整改，当甲方认为质量问题 严重或乙方拒绝尽快采取弥补质量缺陷措施时，甲方有权终止合同更换乙方，乙方承担因终 止合同更换乙方的全部责任并承担因此产生的全部费用。</w:t>
      </w:r>
    </w:p>
    <w:p w14:paraId="285FFE9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8" w:firstLineChars="200"/>
        <w:jc w:val="both"/>
        <w:textAlignment w:val="baseline"/>
        <w:rPr>
          <w:rFonts w:hint="eastAsia" w:ascii="仿宋" w:hAnsi="仿宋" w:eastAsia="仿宋" w:cs="仿宋"/>
          <w:spacing w:val="2"/>
          <w:sz w:val="24"/>
          <w:szCs w:val="24"/>
        </w:rPr>
      </w:pPr>
      <w:r>
        <w:rPr>
          <w:rFonts w:hint="eastAsia" w:ascii="仿宋" w:hAnsi="仿宋" w:eastAsia="仿宋" w:cs="仿宋"/>
          <w:spacing w:val="2"/>
          <w:sz w:val="24"/>
          <w:szCs w:val="24"/>
        </w:rPr>
        <w:t>(3)实施过程中，甲方有权要求乙方项目经理和技术负责人无特殊情况的每人每月坚守 工地时间不得少于26天，如有特殊情况需要离开工地必须向甲方请假，获批准后方可离开 工地。如不按照甲方规定执行，甲方有权要求乙方更换项目经理。</w:t>
      </w:r>
    </w:p>
    <w:p w14:paraId="457EA23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8" w:firstLineChars="200"/>
        <w:jc w:val="both"/>
        <w:textAlignment w:val="baseline"/>
        <w:rPr>
          <w:rFonts w:hint="eastAsia" w:ascii="仿宋" w:hAnsi="仿宋" w:eastAsia="仿宋" w:cs="仿宋"/>
          <w:spacing w:val="2"/>
          <w:sz w:val="24"/>
          <w:szCs w:val="24"/>
          <w:lang w:eastAsia="zh-CN"/>
        </w:rPr>
      </w:pPr>
      <w:r>
        <w:rPr>
          <w:rFonts w:hint="eastAsia" w:ascii="仿宋" w:hAnsi="仿宋" w:eastAsia="仿宋" w:cs="仿宋"/>
          <w:spacing w:val="2"/>
          <w:sz w:val="24"/>
          <w:szCs w:val="24"/>
        </w:rPr>
        <w:t>(4)甲方需要时，可能对施工做出某些限制和配合要求，乙方应积极配</w:t>
      </w:r>
      <w:r>
        <w:rPr>
          <w:rFonts w:hint="eastAsia" w:ascii="仿宋" w:hAnsi="仿宋" w:eastAsia="仿宋" w:cs="仿宋"/>
          <w:spacing w:val="2"/>
          <w:sz w:val="24"/>
          <w:szCs w:val="24"/>
          <w:lang w:eastAsia="zh-CN"/>
        </w:rPr>
        <w:t>合。</w:t>
      </w:r>
    </w:p>
    <w:p w14:paraId="5BA4C05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8" w:firstLineChars="200"/>
        <w:jc w:val="both"/>
        <w:textAlignment w:val="baseline"/>
        <w:rPr>
          <w:rFonts w:hint="eastAsia" w:ascii="仿宋" w:hAnsi="仿宋" w:eastAsia="仿宋" w:cs="仿宋"/>
          <w:spacing w:val="2"/>
          <w:sz w:val="24"/>
          <w:szCs w:val="24"/>
        </w:rPr>
      </w:pPr>
      <w:r>
        <w:rPr>
          <w:rFonts w:hint="eastAsia" w:ascii="仿宋" w:hAnsi="仿宋" w:eastAsia="仿宋" w:cs="仿宋"/>
          <w:spacing w:val="2"/>
          <w:sz w:val="24"/>
          <w:szCs w:val="24"/>
        </w:rPr>
        <w:t>(5)因乙方巡查不到位、维护不及时造成第三方损失的情况，产生的费用及相关责任由乙方承担。</w:t>
      </w:r>
    </w:p>
    <w:p w14:paraId="7276C85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8" w:firstLineChars="200"/>
        <w:jc w:val="both"/>
        <w:textAlignment w:val="baseline"/>
        <w:rPr>
          <w:rFonts w:hint="eastAsia" w:ascii="仿宋" w:hAnsi="仿宋" w:eastAsia="仿宋" w:cs="仿宋"/>
          <w:spacing w:val="2"/>
          <w:sz w:val="24"/>
          <w:szCs w:val="24"/>
        </w:rPr>
      </w:pPr>
      <w:r>
        <w:rPr>
          <w:rFonts w:hint="eastAsia" w:ascii="仿宋" w:hAnsi="仿宋" w:eastAsia="仿宋" w:cs="仿宋"/>
          <w:spacing w:val="2"/>
          <w:sz w:val="24"/>
          <w:szCs w:val="24"/>
        </w:rPr>
        <w:t>1.2、甲方应按约定完成以下工作：</w:t>
      </w:r>
    </w:p>
    <w:p w14:paraId="57BB809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8" w:firstLineChars="200"/>
        <w:jc w:val="both"/>
        <w:textAlignment w:val="baseline"/>
        <w:rPr>
          <w:rFonts w:hint="eastAsia" w:ascii="仿宋" w:hAnsi="仿宋" w:eastAsia="仿宋" w:cs="仿宋"/>
          <w:spacing w:val="2"/>
          <w:sz w:val="24"/>
          <w:szCs w:val="24"/>
        </w:rPr>
      </w:pPr>
      <w:r>
        <w:rPr>
          <w:rFonts w:hint="eastAsia" w:ascii="仿宋" w:hAnsi="仿宋" w:eastAsia="仿宋" w:cs="仿宋"/>
          <w:spacing w:val="2"/>
          <w:sz w:val="24"/>
          <w:szCs w:val="24"/>
        </w:rPr>
        <w:t>(1)现场已具备开工条件。</w:t>
      </w:r>
    </w:p>
    <w:p w14:paraId="296C891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8" w:firstLineChars="200"/>
        <w:jc w:val="both"/>
        <w:textAlignment w:val="baseline"/>
        <w:rPr>
          <w:rFonts w:hint="eastAsia" w:ascii="仿宋" w:hAnsi="仿宋" w:eastAsia="仿宋" w:cs="仿宋"/>
          <w:spacing w:val="2"/>
          <w:sz w:val="24"/>
          <w:szCs w:val="24"/>
        </w:rPr>
      </w:pPr>
      <w:r>
        <w:rPr>
          <w:rFonts w:hint="eastAsia" w:ascii="仿宋" w:hAnsi="仿宋" w:eastAsia="仿宋" w:cs="仿宋"/>
          <w:spacing w:val="2"/>
          <w:sz w:val="24"/>
          <w:szCs w:val="24"/>
        </w:rPr>
        <w:t>(2)组织项目验收，并按合同规定支付价款。</w:t>
      </w:r>
    </w:p>
    <w:p w14:paraId="3906E1D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8" w:firstLineChars="200"/>
        <w:jc w:val="both"/>
        <w:textAlignment w:val="baseline"/>
        <w:rPr>
          <w:rFonts w:hint="eastAsia" w:ascii="仿宋" w:hAnsi="仿宋" w:eastAsia="仿宋" w:cs="仿宋"/>
          <w:spacing w:val="2"/>
          <w:sz w:val="24"/>
          <w:szCs w:val="24"/>
        </w:rPr>
      </w:pPr>
      <w:r>
        <w:rPr>
          <w:rFonts w:hint="eastAsia" w:ascii="仿宋" w:hAnsi="仿宋" w:eastAsia="仿宋" w:cs="仿宋"/>
          <w:spacing w:val="2"/>
          <w:sz w:val="24"/>
          <w:szCs w:val="24"/>
        </w:rPr>
        <w:t>2、乙方权利和义务</w:t>
      </w:r>
    </w:p>
    <w:p w14:paraId="0FEFC66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乙方委派的项目经理  姓名：</w:t>
      </w:r>
      <w:r>
        <w:rPr>
          <w:rFonts w:hint="eastAsia" w:ascii="仿宋" w:hAnsi="仿宋" w:eastAsia="仿宋" w:cs="仿宋"/>
          <w:spacing w:val="-46"/>
          <w:sz w:val="24"/>
          <w:szCs w:val="24"/>
        </w:rPr>
        <w:t xml:space="preserve"> </w:t>
      </w:r>
      <w:r>
        <w:rPr>
          <w:rFonts w:hint="eastAsia" w:ascii="仿宋" w:hAnsi="仿宋" w:eastAsia="仿宋" w:cs="仿宋"/>
          <w:spacing w:val="7"/>
          <w:sz w:val="24"/>
          <w:szCs w:val="24"/>
          <w:u w:val="single" w:color="auto"/>
        </w:rPr>
        <w:t xml:space="preserve">   </w:t>
      </w:r>
      <w:r>
        <w:rPr>
          <w:rFonts w:hint="eastAsia" w:ascii="仿宋" w:hAnsi="仿宋" w:eastAsia="仿宋" w:cs="仿宋"/>
          <w:spacing w:val="7"/>
          <w:sz w:val="24"/>
          <w:szCs w:val="24"/>
          <w:u w:val="single" w:color="auto"/>
          <w:lang w:val="en-US" w:eastAsia="zh-CN"/>
        </w:rPr>
        <w:t xml:space="preserve">   </w:t>
      </w:r>
      <w:r>
        <w:rPr>
          <w:rFonts w:hint="eastAsia" w:ascii="仿宋" w:hAnsi="仿宋" w:eastAsia="仿宋" w:cs="仿宋"/>
          <w:spacing w:val="7"/>
          <w:sz w:val="24"/>
          <w:szCs w:val="24"/>
          <w:u w:val="single" w:color="auto"/>
        </w:rPr>
        <w:t xml:space="preserve">  </w:t>
      </w:r>
      <w:r>
        <w:rPr>
          <w:rFonts w:hint="eastAsia" w:ascii="仿宋" w:hAnsi="仿宋" w:eastAsia="仿宋" w:cs="仿宋"/>
          <w:position w:val="-1"/>
          <w:sz w:val="24"/>
          <w:szCs w:val="24"/>
        </w:rPr>
        <w:t>职 务 ：</w:t>
      </w:r>
      <w:r>
        <w:rPr>
          <w:rFonts w:hint="eastAsia" w:ascii="仿宋" w:hAnsi="仿宋" w:eastAsia="仿宋" w:cs="仿宋"/>
          <w:position w:val="-1"/>
          <w:sz w:val="24"/>
          <w:szCs w:val="24"/>
          <w:u w:val="single" w:color="auto"/>
        </w:rPr>
        <w:t xml:space="preserve">               </w:t>
      </w:r>
    </w:p>
    <w:p w14:paraId="0874DE8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8" w:firstLineChars="200"/>
        <w:jc w:val="both"/>
        <w:textAlignment w:val="baseline"/>
        <w:rPr>
          <w:rFonts w:hint="eastAsia" w:ascii="仿宋" w:hAnsi="仿宋" w:eastAsia="仿宋" w:cs="仿宋"/>
          <w:spacing w:val="2"/>
          <w:sz w:val="24"/>
          <w:szCs w:val="24"/>
        </w:rPr>
      </w:pPr>
      <w:r>
        <w:rPr>
          <w:rFonts w:hint="eastAsia" w:ascii="仿宋" w:hAnsi="仿宋" w:eastAsia="仿宋" w:cs="仿宋"/>
          <w:spacing w:val="2"/>
          <w:sz w:val="24"/>
          <w:szCs w:val="24"/>
        </w:rPr>
        <w:t>乙方应按约定完成以下工作：</w:t>
      </w:r>
    </w:p>
    <w:p w14:paraId="40BA8C0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8" w:firstLineChars="200"/>
        <w:jc w:val="both"/>
        <w:textAlignment w:val="baseline"/>
        <w:rPr>
          <w:rFonts w:hint="eastAsia" w:ascii="仿宋" w:hAnsi="仿宋" w:eastAsia="仿宋" w:cs="仿宋"/>
          <w:spacing w:val="2"/>
          <w:sz w:val="24"/>
          <w:szCs w:val="24"/>
        </w:rPr>
      </w:pPr>
      <w:r>
        <w:rPr>
          <w:rFonts w:hint="eastAsia" w:ascii="仿宋" w:hAnsi="仿宋" w:eastAsia="仿宋" w:cs="仿宋"/>
          <w:spacing w:val="2"/>
          <w:sz w:val="24"/>
          <w:szCs w:val="24"/>
        </w:rPr>
        <w:t>(1)乙方在本合同签订后七日内向甲方代表提供总进度计划、总体资金使 用计划、首月项目实施计划、月资金使用计划，以后每月的20日报当月工程形象进度统计 报表及下一个月的项目实施计划表。</w:t>
      </w:r>
    </w:p>
    <w:p w14:paraId="06B400C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8" w:firstLineChars="200"/>
        <w:jc w:val="both"/>
        <w:textAlignment w:val="baseline"/>
        <w:rPr>
          <w:rFonts w:hint="eastAsia" w:ascii="仿宋" w:hAnsi="仿宋" w:eastAsia="仿宋" w:cs="仿宋"/>
          <w:spacing w:val="2"/>
          <w:sz w:val="24"/>
          <w:szCs w:val="24"/>
        </w:rPr>
      </w:pPr>
      <w:r>
        <w:rPr>
          <w:rFonts w:hint="eastAsia" w:ascii="仿宋" w:hAnsi="仿宋" w:eastAsia="仿宋" w:cs="仿宋"/>
          <w:spacing w:val="2"/>
          <w:sz w:val="24"/>
          <w:szCs w:val="24"/>
        </w:rPr>
        <w:t>(2)乙方负责施工现场的防火、防盗及施工安全保卫工作，承担由此产生的费用。乙方应严格按照相关规范组织施工，除因甲方的行为或过失而造成的伤亡外，乙方承担由于自身 措施不力造成事故的全部责任和因此发生的全部费用。</w:t>
      </w:r>
    </w:p>
    <w:p w14:paraId="3150D0F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8" w:firstLineChars="200"/>
        <w:jc w:val="both"/>
        <w:textAlignment w:val="baseline"/>
        <w:rPr>
          <w:rFonts w:hint="eastAsia" w:ascii="仿宋" w:hAnsi="仿宋" w:eastAsia="仿宋" w:cs="仿宋"/>
          <w:spacing w:val="2"/>
          <w:sz w:val="24"/>
          <w:szCs w:val="24"/>
        </w:rPr>
      </w:pPr>
      <w:r>
        <w:rPr>
          <w:rFonts w:hint="eastAsia" w:ascii="仿宋" w:hAnsi="仿宋" w:eastAsia="仿宋" w:cs="仿宋"/>
          <w:spacing w:val="2"/>
          <w:sz w:val="24"/>
          <w:szCs w:val="24"/>
        </w:rPr>
        <w:t>(3)乙方应保证施工场地达到文明工地的标准，并积极配合创卫工作，随时做好各项迎 检工作前的清洁工作。乙方按照有关规定应采取的安全防护及治污减霾措施所需费用已包含 在甲方支付的合同价款当中，甲方无需另行支付。</w:t>
      </w:r>
    </w:p>
    <w:p w14:paraId="50E12A3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8" w:firstLineChars="200"/>
        <w:jc w:val="both"/>
        <w:textAlignment w:val="baseline"/>
        <w:rPr>
          <w:rFonts w:hint="eastAsia" w:ascii="仿宋" w:hAnsi="仿宋" w:eastAsia="仿宋" w:cs="仿宋"/>
          <w:spacing w:val="2"/>
          <w:sz w:val="24"/>
          <w:szCs w:val="24"/>
        </w:rPr>
      </w:pPr>
      <w:r>
        <w:rPr>
          <w:rFonts w:hint="eastAsia" w:ascii="仿宋" w:hAnsi="仿宋" w:eastAsia="仿宋" w:cs="仿宋"/>
          <w:spacing w:val="2"/>
          <w:sz w:val="24"/>
          <w:szCs w:val="24"/>
        </w:rPr>
        <w:t>(4)已竣工工程未交付甲方之前，乙方负责已完工程的成品保护工作，保护期间发生损坏，乙方负责予以修复并承担费用，工程交付甲方后，保护工程及费用由甲方承担。</w:t>
      </w:r>
    </w:p>
    <w:p w14:paraId="1276388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8" w:firstLineChars="200"/>
        <w:jc w:val="both"/>
        <w:textAlignment w:val="baseline"/>
        <w:rPr>
          <w:rFonts w:hint="eastAsia" w:ascii="仿宋" w:hAnsi="仿宋" w:eastAsia="仿宋" w:cs="仿宋"/>
          <w:spacing w:val="2"/>
          <w:sz w:val="24"/>
          <w:szCs w:val="24"/>
        </w:rPr>
      </w:pPr>
      <w:r>
        <w:rPr>
          <w:rFonts w:hint="eastAsia" w:ascii="仿宋" w:hAnsi="仿宋" w:eastAsia="仿宋" w:cs="仿宋"/>
          <w:spacing w:val="2"/>
          <w:sz w:val="24"/>
          <w:szCs w:val="24"/>
        </w:rPr>
        <w:t>(5)乙方需购买公众责任险，以承担可能发生意外中受害第三者的经济赔偿责任。</w:t>
      </w:r>
    </w:p>
    <w:p w14:paraId="109568D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8" w:firstLineChars="200"/>
        <w:jc w:val="both"/>
        <w:textAlignment w:val="baseline"/>
        <w:rPr>
          <w:rFonts w:hint="eastAsia" w:ascii="仿宋" w:hAnsi="仿宋" w:eastAsia="仿宋" w:cs="仿宋"/>
          <w:spacing w:val="2"/>
          <w:sz w:val="24"/>
          <w:szCs w:val="24"/>
        </w:rPr>
      </w:pPr>
      <w:r>
        <w:rPr>
          <w:rFonts w:hint="eastAsia" w:ascii="仿宋" w:hAnsi="仿宋" w:eastAsia="仿宋" w:cs="仿宋"/>
          <w:spacing w:val="2"/>
          <w:sz w:val="24"/>
          <w:szCs w:val="24"/>
        </w:rPr>
        <w:t>(6)配合甲方进行工程验收并办理相关手续。</w:t>
      </w:r>
    </w:p>
    <w:p w14:paraId="623E943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8" w:firstLineChars="200"/>
        <w:jc w:val="both"/>
        <w:textAlignment w:val="baseline"/>
        <w:rPr>
          <w:rFonts w:hint="eastAsia" w:ascii="仿宋" w:hAnsi="仿宋" w:eastAsia="仿宋" w:cs="仿宋"/>
          <w:sz w:val="24"/>
          <w:szCs w:val="24"/>
        </w:rPr>
      </w:pPr>
      <w:r>
        <w:rPr>
          <w:rFonts w:hint="eastAsia" w:ascii="仿宋" w:hAnsi="仿宋" w:eastAsia="仿宋" w:cs="仿宋"/>
          <w:spacing w:val="2"/>
          <w:sz w:val="24"/>
          <w:szCs w:val="24"/>
        </w:rPr>
        <w:t>(7)工程质保期间，乙方应派专人巡查维护，甲方不再另行支付费用。</w:t>
      </w:r>
    </w:p>
    <w:p w14:paraId="072AAD3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10" w:firstLineChars="200"/>
        <w:textAlignment w:val="baseline"/>
        <w:rPr>
          <w:rFonts w:hint="eastAsia" w:ascii="仿宋" w:hAnsi="仿宋" w:eastAsia="仿宋" w:cs="仿宋"/>
          <w:sz w:val="24"/>
          <w:szCs w:val="24"/>
        </w:rPr>
      </w:pPr>
      <w:r>
        <w:rPr>
          <w:rFonts w:hint="eastAsia" w:ascii="仿宋" w:hAnsi="仿宋" w:eastAsia="仿宋" w:cs="仿宋"/>
          <w:b/>
          <w:bCs/>
          <w:spacing w:val="-18"/>
          <w:sz w:val="24"/>
          <w:szCs w:val="24"/>
        </w:rPr>
        <w:t>四</w:t>
      </w:r>
      <w:r>
        <w:rPr>
          <w:rFonts w:hint="eastAsia" w:ascii="仿宋" w:hAnsi="仿宋" w:eastAsia="仿宋" w:cs="仿宋"/>
          <w:spacing w:val="-50"/>
          <w:sz w:val="24"/>
          <w:szCs w:val="24"/>
        </w:rPr>
        <w:t xml:space="preserve"> </w:t>
      </w:r>
      <w:r>
        <w:rPr>
          <w:rFonts w:hint="eastAsia" w:ascii="仿宋" w:hAnsi="仿宋" w:eastAsia="仿宋" w:cs="仿宋"/>
          <w:b/>
          <w:bCs/>
          <w:spacing w:val="-18"/>
          <w:sz w:val="24"/>
          <w:szCs w:val="24"/>
        </w:rPr>
        <w:t>、费用支付</w:t>
      </w:r>
    </w:p>
    <w:p w14:paraId="2559895B">
      <w:pPr>
        <w:keepNext w:val="0"/>
        <w:keepLines w:val="0"/>
        <w:pageBreakBefore w:val="0"/>
        <w:widowControl/>
        <w:numPr>
          <w:ilvl w:val="0"/>
          <w:numId w:val="1"/>
        </w:numPr>
        <w:kinsoku w:val="0"/>
        <w:wordWrap/>
        <w:overflowPunct/>
        <w:topLinePunct w:val="0"/>
        <w:autoSpaceDE w:val="0"/>
        <w:autoSpaceDN w:val="0"/>
        <w:bidi w:val="0"/>
        <w:adjustRightInd w:val="0"/>
        <w:snapToGrid w:val="0"/>
        <w:spacing w:line="360" w:lineRule="auto"/>
        <w:ind w:left="0" w:right="0" w:firstLine="488" w:firstLineChars="200"/>
        <w:jc w:val="both"/>
        <w:textAlignment w:val="baseline"/>
        <w:rPr>
          <w:rFonts w:hint="eastAsia" w:ascii="仿宋" w:hAnsi="仿宋" w:eastAsia="仿宋" w:cs="仿宋"/>
          <w:spacing w:val="2"/>
          <w:sz w:val="24"/>
          <w:szCs w:val="24"/>
        </w:rPr>
      </w:pPr>
      <w:r>
        <w:rPr>
          <w:rFonts w:hint="eastAsia" w:ascii="仿宋" w:hAnsi="仿宋" w:eastAsia="仿宋" w:cs="仿宋"/>
          <w:spacing w:val="2"/>
          <w:sz w:val="24"/>
          <w:szCs w:val="24"/>
        </w:rPr>
        <w:t>考核打分90分以上足额计算当期申请费用，未达到90分，分数在85-90分(含85分)每降低1分扣除当季度经费的0.6%</w:t>
      </w:r>
      <w:r>
        <w:rPr>
          <w:rFonts w:hint="eastAsia" w:ascii="仿宋" w:hAnsi="仿宋" w:eastAsia="仿宋" w:cs="仿宋"/>
          <w:spacing w:val="2"/>
          <w:sz w:val="24"/>
          <w:szCs w:val="24"/>
          <w:lang w:eastAsia="zh-CN"/>
        </w:rPr>
        <w:t>；分数在80-85分(含80分)，</w:t>
      </w:r>
      <w:r>
        <w:rPr>
          <w:rFonts w:hint="eastAsia" w:ascii="仿宋" w:hAnsi="仿宋" w:eastAsia="仿宋" w:cs="仿宋"/>
          <w:spacing w:val="2"/>
          <w:sz w:val="24"/>
          <w:szCs w:val="24"/>
        </w:rPr>
        <w:t>每</w:t>
      </w:r>
      <w:r>
        <w:rPr>
          <w:rFonts w:hint="eastAsia" w:ascii="仿宋" w:hAnsi="仿宋" w:eastAsia="仿宋" w:cs="仿宋"/>
          <w:spacing w:val="2"/>
          <w:sz w:val="24"/>
          <w:szCs w:val="24"/>
          <w:lang w:eastAsia="zh-CN"/>
        </w:rPr>
        <w:t>降低1分扣除当季度经费的0.4%；分数在80分(不含80分)以下，扣除当季度经费的10%,并限期整改，整改仍未达标的，扣除整改期间当季度全部经费。连续三个季度分数在70分以下，或者当季度考核低于60分，甲方有权解除合同。</w:t>
      </w:r>
    </w:p>
    <w:p w14:paraId="7787DCB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8" w:firstLineChars="200"/>
        <w:jc w:val="both"/>
        <w:textAlignment w:val="baseline"/>
        <w:rPr>
          <w:rFonts w:hint="eastAsia" w:ascii="仿宋" w:hAnsi="仿宋" w:eastAsia="仿宋" w:cs="仿宋"/>
          <w:spacing w:val="2"/>
          <w:sz w:val="24"/>
          <w:szCs w:val="24"/>
        </w:rPr>
      </w:pPr>
      <w:r>
        <w:rPr>
          <w:rFonts w:hint="eastAsia" w:ascii="仿宋" w:hAnsi="仿宋" w:eastAsia="仿宋" w:cs="仿宋"/>
          <w:spacing w:val="2"/>
          <w:sz w:val="24"/>
          <w:szCs w:val="24"/>
        </w:rPr>
        <w:t>2、服务费用支付乙方于每月20日前向甲方报送当月已完成合格工程量进度表，甲方审核后结合当月考核情况进行核算</w:t>
      </w:r>
      <w:r>
        <w:rPr>
          <w:rFonts w:hint="eastAsia" w:ascii="仿宋" w:hAnsi="仿宋" w:eastAsia="仿宋" w:cs="仿宋"/>
          <w:spacing w:val="2"/>
          <w:sz w:val="24"/>
          <w:szCs w:val="24"/>
          <w:lang w:eastAsia="zh-CN"/>
        </w:rPr>
        <w:t>，每个月结算一次，支付经双方确认后的当月结算价</w:t>
      </w:r>
      <w:r>
        <w:rPr>
          <w:rFonts w:hint="eastAsia" w:ascii="仿宋" w:hAnsi="仿宋" w:eastAsia="仿宋" w:cs="仿宋"/>
          <w:spacing w:val="2"/>
          <w:sz w:val="24"/>
          <w:szCs w:val="24"/>
        </w:rPr>
        <w:t>。</w:t>
      </w:r>
    </w:p>
    <w:p w14:paraId="53A585F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8" w:firstLineChars="200"/>
        <w:jc w:val="both"/>
        <w:textAlignment w:val="baseline"/>
        <w:rPr>
          <w:rFonts w:hint="eastAsia" w:ascii="仿宋" w:hAnsi="仿宋" w:eastAsia="仿宋" w:cs="仿宋"/>
          <w:spacing w:val="2"/>
          <w:sz w:val="24"/>
          <w:szCs w:val="24"/>
        </w:rPr>
      </w:pPr>
      <w:r>
        <w:rPr>
          <w:rFonts w:hint="eastAsia" w:ascii="仿宋" w:hAnsi="仿宋" w:eastAsia="仿宋" w:cs="仿宋"/>
          <w:spacing w:val="2"/>
          <w:sz w:val="24"/>
          <w:szCs w:val="24"/>
        </w:rPr>
        <w:t>3、甲方每次付款前，乙方应提供甲方认可的等额发票、完税凭证、收据等付款凭证，</w:t>
      </w:r>
    </w:p>
    <w:p w14:paraId="7B2D0D85">
      <w:pPr>
        <w:keepNext w:val="0"/>
        <w:keepLines w:val="0"/>
        <w:pageBreakBefore w:val="0"/>
        <w:widowControl/>
        <w:kinsoku w:val="0"/>
        <w:wordWrap/>
        <w:overflowPunct/>
        <w:topLinePunct w:val="0"/>
        <w:autoSpaceDE w:val="0"/>
        <w:autoSpaceDN w:val="0"/>
        <w:bidi w:val="0"/>
        <w:adjustRightInd w:val="0"/>
        <w:snapToGrid w:val="0"/>
        <w:spacing w:line="360" w:lineRule="auto"/>
        <w:ind w:right="0"/>
        <w:jc w:val="both"/>
        <w:textAlignment w:val="baseline"/>
        <w:rPr>
          <w:rFonts w:hint="eastAsia" w:ascii="仿宋" w:hAnsi="仿宋" w:eastAsia="仿宋" w:cs="仿宋"/>
          <w:spacing w:val="2"/>
          <w:sz w:val="24"/>
          <w:szCs w:val="24"/>
        </w:rPr>
      </w:pPr>
      <w:r>
        <w:rPr>
          <w:rFonts w:hint="eastAsia" w:ascii="仿宋" w:hAnsi="仿宋" w:eastAsia="仿宋" w:cs="仿宋"/>
          <w:spacing w:val="2"/>
          <w:sz w:val="24"/>
          <w:szCs w:val="24"/>
        </w:rPr>
        <w:t>质保金的发票及完税凭证随结算款发票一并提供。</w:t>
      </w:r>
    </w:p>
    <w:p w14:paraId="741F4E7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0" w:firstLineChars="200"/>
        <w:textAlignment w:val="baseline"/>
        <w:rPr>
          <w:rFonts w:hint="eastAsia" w:ascii="仿宋" w:hAnsi="仿宋" w:eastAsia="仿宋" w:cs="仿宋"/>
          <w:sz w:val="24"/>
          <w:szCs w:val="24"/>
        </w:rPr>
      </w:pPr>
      <w:r>
        <w:rPr>
          <w:rFonts w:hint="eastAsia" w:ascii="仿宋" w:hAnsi="仿宋" w:eastAsia="仿宋" w:cs="仿宋"/>
          <w:b/>
          <w:bCs/>
          <w:spacing w:val="-3"/>
          <w:sz w:val="24"/>
          <w:szCs w:val="24"/>
        </w:rPr>
        <w:t>五、验收与结算</w:t>
      </w:r>
    </w:p>
    <w:p w14:paraId="1BB7FDC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2" w:firstLineChars="200"/>
        <w:textAlignment w:val="baseline"/>
        <w:rPr>
          <w:rFonts w:hint="eastAsia" w:ascii="仿宋" w:hAnsi="仿宋" w:eastAsia="仿宋" w:cs="仿宋"/>
          <w:sz w:val="24"/>
          <w:szCs w:val="24"/>
        </w:rPr>
      </w:pPr>
      <w:r>
        <w:rPr>
          <w:rFonts w:hint="eastAsia" w:ascii="仿宋" w:hAnsi="仿宋" w:eastAsia="仿宋" w:cs="仿宋"/>
          <w:spacing w:val="3"/>
          <w:sz w:val="24"/>
          <w:szCs w:val="24"/>
        </w:rPr>
        <w:t>1、验收</w:t>
      </w:r>
      <w:r>
        <w:rPr>
          <w:rFonts w:hint="eastAsia" w:ascii="仿宋" w:hAnsi="仿宋" w:eastAsia="仿宋" w:cs="仿宋"/>
          <w:spacing w:val="-1"/>
          <w:sz w:val="24"/>
          <w:szCs w:val="24"/>
        </w:rPr>
        <w:t>工程具备验收条件后，乙方按照国家竣工有</w:t>
      </w:r>
      <w:r>
        <w:rPr>
          <w:rFonts w:hint="eastAsia" w:ascii="仿宋" w:hAnsi="仿宋" w:eastAsia="仿宋" w:cs="仿宋"/>
          <w:spacing w:val="-2"/>
          <w:sz w:val="24"/>
          <w:szCs w:val="24"/>
        </w:rPr>
        <w:t>关规定，向甲方提供完整竣工资料和验收报</w:t>
      </w:r>
      <w:r>
        <w:rPr>
          <w:rFonts w:hint="eastAsia" w:ascii="仿宋" w:hAnsi="仿宋" w:eastAsia="仿宋" w:cs="仿宋"/>
          <w:spacing w:val="-1"/>
          <w:sz w:val="24"/>
          <w:szCs w:val="24"/>
        </w:rPr>
        <w:t>告，乙方以书面形式通知甲方验收。如果甲方未确定验收日期，必须以书面形式通知</w:t>
      </w:r>
      <w:r>
        <w:rPr>
          <w:rFonts w:hint="eastAsia" w:ascii="仿宋" w:hAnsi="仿宋" w:eastAsia="仿宋" w:cs="仿宋"/>
          <w:spacing w:val="-2"/>
          <w:sz w:val="24"/>
          <w:szCs w:val="24"/>
        </w:rPr>
        <w:t>乙方另</w:t>
      </w:r>
      <w:r>
        <w:rPr>
          <w:rFonts w:hint="eastAsia" w:ascii="仿宋" w:hAnsi="仿宋" w:eastAsia="仿宋" w:cs="仿宋"/>
          <w:spacing w:val="-1"/>
          <w:sz w:val="24"/>
          <w:szCs w:val="24"/>
        </w:rPr>
        <w:t>定日期。甲方改期验收时限为接到乙方验收通知十日内。</w:t>
      </w:r>
    </w:p>
    <w:p w14:paraId="0498362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仿宋" w:hAnsi="仿宋" w:eastAsia="仿宋" w:cs="仿宋"/>
          <w:sz w:val="24"/>
          <w:szCs w:val="24"/>
        </w:rPr>
      </w:pPr>
      <w:r>
        <w:rPr>
          <w:rFonts w:hint="eastAsia" w:ascii="仿宋" w:hAnsi="仿宋" w:eastAsia="仿宋" w:cs="仿宋"/>
          <w:spacing w:val="1"/>
          <w:sz w:val="24"/>
          <w:szCs w:val="24"/>
        </w:rPr>
        <w:t>2、竣工结算</w:t>
      </w:r>
    </w:p>
    <w:p w14:paraId="70CA0CF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textAlignment w:val="baseline"/>
        <w:rPr>
          <w:rFonts w:hint="eastAsia" w:ascii="仿宋" w:hAnsi="仿宋" w:eastAsia="仿宋" w:cs="仿宋"/>
          <w:sz w:val="24"/>
          <w:szCs w:val="24"/>
        </w:rPr>
      </w:pPr>
      <w:r>
        <w:rPr>
          <w:rFonts w:hint="eastAsia" w:ascii="仿宋" w:hAnsi="仿宋" w:eastAsia="仿宋" w:cs="仿宋"/>
          <w:spacing w:val="-1"/>
          <w:sz w:val="24"/>
          <w:szCs w:val="24"/>
        </w:rPr>
        <w:t>乙方应认真编制工程结算书，不得弄虚作假，如乙方最初报送给</w:t>
      </w:r>
      <w:r>
        <w:rPr>
          <w:rFonts w:hint="eastAsia" w:ascii="仿宋" w:hAnsi="仿宋" w:eastAsia="仿宋" w:cs="仿宋"/>
          <w:spacing w:val="2"/>
          <w:sz w:val="24"/>
          <w:szCs w:val="24"/>
        </w:rPr>
        <w:t>甲方</w:t>
      </w:r>
      <w:r>
        <w:rPr>
          <w:rFonts w:hint="eastAsia" w:ascii="仿宋" w:hAnsi="仿宋" w:eastAsia="仿宋" w:cs="仿宋"/>
          <w:spacing w:val="-1"/>
          <w:sz w:val="24"/>
          <w:szCs w:val="24"/>
        </w:rPr>
        <w:t>的工程结算价</w:t>
      </w:r>
      <w:r>
        <w:rPr>
          <w:rFonts w:hint="eastAsia" w:ascii="仿宋" w:hAnsi="仿宋" w:eastAsia="仿宋" w:cs="仿宋"/>
          <w:spacing w:val="2"/>
          <w:sz w:val="24"/>
          <w:szCs w:val="24"/>
        </w:rPr>
        <w:t>超出甲方委托的事务所审定造价的5%时，审计成果费(即乙方最初报送甲方审核时造价</w:t>
      </w:r>
      <w:r>
        <w:rPr>
          <w:rFonts w:hint="eastAsia" w:ascii="仿宋" w:hAnsi="仿宋" w:eastAsia="仿宋" w:cs="仿宋"/>
          <w:spacing w:val="4"/>
          <w:sz w:val="24"/>
          <w:szCs w:val="24"/>
        </w:rPr>
        <w:t>减去事务所审定造价差额的3.5%)全部由乙方承担，在支付结算款时予以扣除。</w:t>
      </w:r>
    </w:p>
    <w:p w14:paraId="6CFFD21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4" w:firstLineChars="200"/>
        <w:textAlignment w:val="baseline"/>
        <w:rPr>
          <w:rFonts w:hint="eastAsia" w:ascii="仿宋" w:hAnsi="仿宋" w:eastAsia="仿宋" w:cs="仿宋"/>
          <w:sz w:val="24"/>
          <w:szCs w:val="24"/>
        </w:rPr>
      </w:pPr>
      <w:r>
        <w:rPr>
          <w:rFonts w:hint="eastAsia" w:ascii="仿宋" w:hAnsi="仿宋" w:eastAsia="仿宋" w:cs="仿宋"/>
          <w:b/>
          <w:bCs/>
          <w:spacing w:val="-2"/>
          <w:sz w:val="24"/>
          <w:szCs w:val="24"/>
        </w:rPr>
        <w:t>六、质量保证</w:t>
      </w:r>
    </w:p>
    <w:p w14:paraId="57B2AFC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2" w:firstLineChars="200"/>
        <w:textAlignment w:val="baseline"/>
        <w:rPr>
          <w:rFonts w:hint="eastAsia" w:ascii="仿宋" w:hAnsi="仿宋" w:eastAsia="仿宋" w:cs="仿宋"/>
          <w:spacing w:val="3"/>
          <w:sz w:val="24"/>
          <w:szCs w:val="24"/>
        </w:rPr>
      </w:pPr>
      <w:r>
        <w:rPr>
          <w:rFonts w:hint="eastAsia" w:ascii="仿宋" w:hAnsi="仿宋" w:eastAsia="仿宋" w:cs="仿宋"/>
          <w:spacing w:val="3"/>
          <w:sz w:val="24"/>
          <w:szCs w:val="24"/>
        </w:rPr>
        <w:t>1、维修的项目保修期二年。自单项维修工作完毕并验收合格之日起算。</w:t>
      </w:r>
    </w:p>
    <w:p w14:paraId="2C76A32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2" w:firstLineChars="200"/>
        <w:textAlignment w:val="baseline"/>
        <w:rPr>
          <w:rFonts w:hint="eastAsia" w:ascii="仿宋" w:hAnsi="仿宋" w:eastAsia="仿宋" w:cs="仿宋"/>
          <w:spacing w:val="3"/>
          <w:sz w:val="24"/>
          <w:szCs w:val="24"/>
        </w:rPr>
      </w:pPr>
      <w:r>
        <w:rPr>
          <w:rFonts w:hint="eastAsia" w:ascii="仿宋" w:hAnsi="仿宋" w:eastAsia="仿宋" w:cs="仿宋"/>
          <w:spacing w:val="3"/>
          <w:sz w:val="24"/>
          <w:szCs w:val="24"/>
        </w:rPr>
        <w:t>2、保修期内出现工程质量问题，属于保修范围内容的项目，乙方应当在接到保修通知 之日起24小时内派人修理，并保证修理完毕的工程，经验收确认达到合格标准。施工单位不在约定期限内派人保修或修理后仍不合格的，建设单位可以委托他人修理，由此产生的费用由乙方承担。</w:t>
      </w:r>
    </w:p>
    <w:p w14:paraId="29D4E9C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8" w:firstLineChars="200"/>
        <w:textAlignment w:val="baseline"/>
        <w:rPr>
          <w:rFonts w:hint="eastAsia" w:ascii="仿宋" w:hAnsi="仿宋" w:eastAsia="仿宋" w:cs="仿宋"/>
          <w:sz w:val="24"/>
          <w:szCs w:val="24"/>
        </w:rPr>
      </w:pPr>
      <w:r>
        <w:rPr>
          <w:rFonts w:hint="eastAsia" w:ascii="仿宋" w:hAnsi="仿宋" w:eastAsia="仿宋" w:cs="仿宋"/>
          <w:b/>
          <w:bCs/>
          <w:spacing w:val="9"/>
          <w:sz w:val="24"/>
          <w:szCs w:val="24"/>
        </w:rPr>
        <w:t>七、违约、索赔和争议</w:t>
      </w:r>
    </w:p>
    <w:p w14:paraId="2105C79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2" w:firstLineChars="200"/>
        <w:textAlignment w:val="baseline"/>
        <w:rPr>
          <w:rFonts w:hint="eastAsia" w:ascii="仿宋" w:hAnsi="仿宋" w:eastAsia="仿宋" w:cs="仿宋"/>
          <w:spacing w:val="3"/>
          <w:sz w:val="24"/>
          <w:szCs w:val="24"/>
        </w:rPr>
      </w:pPr>
      <w:r>
        <w:rPr>
          <w:rFonts w:hint="eastAsia" w:ascii="仿宋" w:hAnsi="仿宋" w:eastAsia="仿宋" w:cs="仿宋"/>
          <w:spacing w:val="3"/>
          <w:sz w:val="24"/>
          <w:szCs w:val="24"/>
        </w:rPr>
        <w:t>乙方违反本协议约定，不能完成本协议约定的服务内容或标准，甲方有权要求乙方限期整改。逾期未改正的，甲方有权终止服务合同，若同时给甲方造成经济损失的乙方应承担相 应的赔偿责任。</w:t>
      </w:r>
    </w:p>
    <w:p w14:paraId="6379B00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2" w:firstLineChars="200"/>
        <w:textAlignment w:val="baseline"/>
        <w:rPr>
          <w:rFonts w:hint="eastAsia" w:ascii="仿宋" w:hAnsi="仿宋" w:eastAsia="仿宋" w:cs="仿宋"/>
          <w:spacing w:val="3"/>
          <w:sz w:val="24"/>
          <w:szCs w:val="24"/>
        </w:rPr>
      </w:pPr>
      <w:r>
        <w:rPr>
          <w:rFonts w:hint="eastAsia" w:ascii="仿宋" w:hAnsi="仿宋" w:eastAsia="仿宋" w:cs="仿宋"/>
          <w:spacing w:val="3"/>
          <w:sz w:val="24"/>
          <w:szCs w:val="24"/>
        </w:rPr>
        <w:t>违约行为包含但不限于：</w:t>
      </w:r>
    </w:p>
    <w:p w14:paraId="15A5897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2" w:firstLineChars="200"/>
        <w:textAlignment w:val="baseline"/>
        <w:rPr>
          <w:rFonts w:hint="eastAsia" w:ascii="仿宋" w:hAnsi="仿宋" w:eastAsia="仿宋" w:cs="仿宋"/>
          <w:spacing w:val="3"/>
          <w:sz w:val="24"/>
          <w:szCs w:val="24"/>
        </w:rPr>
      </w:pPr>
      <w:r>
        <w:rPr>
          <w:rFonts w:hint="eastAsia" w:ascii="仿宋" w:hAnsi="仿宋" w:eastAsia="仿宋" w:cs="仿宋"/>
          <w:spacing w:val="3"/>
          <w:sz w:val="24"/>
          <w:szCs w:val="24"/>
        </w:rPr>
        <w:t>(1)乙方未按合同要求提供维修服务；</w:t>
      </w:r>
    </w:p>
    <w:p w14:paraId="3EF030C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2" w:firstLineChars="200"/>
        <w:textAlignment w:val="baseline"/>
        <w:rPr>
          <w:rFonts w:hint="eastAsia" w:ascii="仿宋" w:hAnsi="仿宋" w:eastAsia="仿宋" w:cs="仿宋"/>
          <w:spacing w:val="3"/>
          <w:sz w:val="24"/>
          <w:szCs w:val="24"/>
        </w:rPr>
      </w:pPr>
      <w:r>
        <w:rPr>
          <w:rFonts w:hint="eastAsia" w:ascii="仿宋" w:hAnsi="仿宋" w:eastAsia="仿宋" w:cs="仿宋"/>
          <w:spacing w:val="3"/>
          <w:sz w:val="24"/>
          <w:szCs w:val="24"/>
        </w:rPr>
        <w:t>(2)乙方不能满足技术要求及甲方要求(附件3管理目标及标准);</w:t>
      </w:r>
    </w:p>
    <w:p w14:paraId="3FA8F2A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2" w:firstLineChars="200"/>
        <w:textAlignment w:val="baseline"/>
        <w:rPr>
          <w:rFonts w:hint="eastAsia" w:ascii="仿宋" w:hAnsi="仿宋" w:eastAsia="仿宋" w:cs="仿宋"/>
          <w:spacing w:val="3"/>
          <w:sz w:val="24"/>
          <w:szCs w:val="24"/>
        </w:rPr>
      </w:pPr>
      <w:r>
        <w:rPr>
          <w:rFonts w:hint="eastAsia" w:ascii="仿宋" w:hAnsi="仿宋" w:eastAsia="仿宋" w:cs="仿宋"/>
          <w:spacing w:val="3"/>
          <w:sz w:val="24"/>
          <w:szCs w:val="24"/>
        </w:rPr>
        <w:t>(3 )连续三个季度分数在70分以下，或者当季度考核低于60分；</w:t>
      </w:r>
    </w:p>
    <w:p w14:paraId="14CA17D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2" w:firstLineChars="200"/>
        <w:textAlignment w:val="baseline"/>
        <w:rPr>
          <w:rFonts w:hint="eastAsia" w:ascii="仿宋" w:hAnsi="仿宋" w:eastAsia="仿宋" w:cs="仿宋"/>
          <w:spacing w:val="3"/>
          <w:sz w:val="24"/>
          <w:szCs w:val="24"/>
        </w:rPr>
      </w:pPr>
      <w:r>
        <w:rPr>
          <w:rFonts w:hint="eastAsia" w:ascii="仿宋" w:hAnsi="仿宋" w:eastAsia="仿宋" w:cs="仿宋"/>
          <w:spacing w:val="3"/>
          <w:sz w:val="24"/>
          <w:szCs w:val="24"/>
        </w:rPr>
        <w:t>(4)本合同期限届满之前，乙方明确表示或者以自己的行为表明不愿或不能继续履约。 对于违约行为，甲方有权解除合同，并追究违约责任。</w:t>
      </w:r>
    </w:p>
    <w:p w14:paraId="5063D0E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2" w:firstLineChars="200"/>
        <w:textAlignment w:val="baseline"/>
        <w:rPr>
          <w:rFonts w:hint="eastAsia" w:ascii="仿宋" w:hAnsi="仿宋" w:eastAsia="仿宋" w:cs="仿宋"/>
          <w:spacing w:val="3"/>
          <w:sz w:val="24"/>
          <w:szCs w:val="24"/>
        </w:rPr>
      </w:pPr>
      <w:r>
        <w:rPr>
          <w:rFonts w:hint="eastAsia" w:ascii="仿宋" w:hAnsi="仿宋" w:eastAsia="仿宋" w:cs="仿宋"/>
          <w:spacing w:val="3"/>
          <w:sz w:val="24"/>
          <w:szCs w:val="24"/>
        </w:rPr>
        <w:t>双方当事人约定，在履行合同过程中产生争议时，请当地相关部门进行协调解决，合同 争议调解不成的，依法向项目所在地有管辖权的人民法院提起诉讼。</w:t>
      </w:r>
    </w:p>
    <w:p w14:paraId="1342DA5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0" w:firstLineChars="200"/>
        <w:textAlignment w:val="baseline"/>
        <w:rPr>
          <w:rFonts w:hint="eastAsia" w:ascii="仿宋" w:hAnsi="仿宋" w:eastAsia="仿宋" w:cs="仿宋"/>
          <w:sz w:val="24"/>
          <w:szCs w:val="24"/>
        </w:rPr>
      </w:pPr>
      <w:r>
        <w:rPr>
          <w:rFonts w:hint="eastAsia" w:ascii="仿宋" w:hAnsi="仿宋" w:eastAsia="仿宋" w:cs="仿宋"/>
          <w:b/>
          <w:bCs/>
          <w:spacing w:val="-3"/>
          <w:sz w:val="24"/>
          <w:szCs w:val="24"/>
        </w:rPr>
        <w:t>八</w:t>
      </w:r>
      <w:r>
        <w:rPr>
          <w:rFonts w:hint="eastAsia" w:ascii="仿宋" w:hAnsi="仿宋" w:eastAsia="仿宋" w:cs="仿宋"/>
          <w:spacing w:val="-54"/>
          <w:sz w:val="24"/>
          <w:szCs w:val="24"/>
        </w:rPr>
        <w:t xml:space="preserve"> </w:t>
      </w:r>
      <w:r>
        <w:rPr>
          <w:rFonts w:hint="eastAsia" w:ascii="仿宋" w:hAnsi="仿宋" w:eastAsia="仿宋" w:cs="仿宋"/>
          <w:b/>
          <w:bCs/>
          <w:spacing w:val="-3"/>
          <w:sz w:val="24"/>
          <w:szCs w:val="24"/>
        </w:rPr>
        <w:t>、其他条款</w:t>
      </w:r>
    </w:p>
    <w:p w14:paraId="4F0226F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2" w:firstLineChars="200"/>
        <w:textAlignment w:val="baseline"/>
        <w:rPr>
          <w:rFonts w:hint="eastAsia" w:ascii="仿宋" w:hAnsi="仿宋" w:eastAsia="仿宋" w:cs="仿宋"/>
          <w:spacing w:val="3"/>
          <w:sz w:val="24"/>
          <w:szCs w:val="24"/>
        </w:rPr>
      </w:pPr>
      <w:r>
        <w:rPr>
          <w:rFonts w:hint="eastAsia" w:ascii="仿宋" w:hAnsi="仿宋" w:eastAsia="仿宋" w:cs="仿宋"/>
          <w:spacing w:val="3"/>
          <w:sz w:val="24"/>
          <w:szCs w:val="24"/>
        </w:rPr>
        <w:t>1、各方约定合同份数：本合同</w:t>
      </w:r>
      <w:r>
        <w:rPr>
          <w:rFonts w:hint="eastAsia" w:ascii="仿宋" w:hAnsi="仿宋" w:eastAsia="仿宋" w:cs="仿宋"/>
          <w:spacing w:val="3"/>
          <w:sz w:val="24"/>
          <w:szCs w:val="24"/>
          <w:lang w:eastAsia="zh-CN"/>
        </w:rPr>
        <w:t>一式</w:t>
      </w:r>
      <w:r>
        <w:rPr>
          <w:rFonts w:hint="eastAsia" w:ascii="仿宋" w:hAnsi="仿宋" w:eastAsia="仿宋" w:cs="仿宋"/>
          <w:spacing w:val="3"/>
          <w:sz w:val="24"/>
          <w:szCs w:val="24"/>
          <w:u w:val="single"/>
        </w:rPr>
        <w:t xml:space="preserve"> 捌 </w:t>
      </w:r>
      <w:r>
        <w:rPr>
          <w:rFonts w:hint="eastAsia" w:ascii="仿宋" w:hAnsi="仿宋" w:eastAsia="仿宋" w:cs="仿宋"/>
          <w:spacing w:val="3"/>
          <w:sz w:val="24"/>
          <w:szCs w:val="24"/>
        </w:rPr>
        <w:t>份，甲方执</w:t>
      </w:r>
      <w:r>
        <w:rPr>
          <w:rFonts w:hint="eastAsia" w:ascii="仿宋" w:hAnsi="仿宋" w:eastAsia="仿宋" w:cs="仿宋"/>
          <w:spacing w:val="3"/>
          <w:sz w:val="24"/>
          <w:szCs w:val="24"/>
          <w:u w:val="single"/>
        </w:rPr>
        <w:t xml:space="preserve"> </w:t>
      </w:r>
      <w:r>
        <w:rPr>
          <w:rFonts w:hint="eastAsia" w:ascii="仿宋" w:hAnsi="仿宋" w:eastAsia="仿宋" w:cs="仿宋"/>
          <w:spacing w:val="3"/>
          <w:sz w:val="24"/>
          <w:szCs w:val="24"/>
          <w:u w:val="single"/>
          <w:lang w:eastAsia="zh-CN"/>
        </w:rPr>
        <w:t>肆</w:t>
      </w:r>
      <w:r>
        <w:rPr>
          <w:rFonts w:hint="eastAsia" w:ascii="仿宋" w:hAnsi="仿宋" w:eastAsia="仿宋" w:cs="仿宋"/>
          <w:spacing w:val="3"/>
          <w:sz w:val="24"/>
          <w:szCs w:val="24"/>
          <w:u w:val="single"/>
        </w:rPr>
        <w:t xml:space="preserve"> </w:t>
      </w:r>
      <w:r>
        <w:rPr>
          <w:rFonts w:hint="eastAsia" w:ascii="仿宋" w:hAnsi="仿宋" w:eastAsia="仿宋" w:cs="仿宋"/>
          <w:spacing w:val="3"/>
          <w:sz w:val="24"/>
          <w:szCs w:val="24"/>
        </w:rPr>
        <w:t>份，乙方执</w:t>
      </w:r>
      <w:r>
        <w:rPr>
          <w:rFonts w:hint="eastAsia" w:ascii="仿宋" w:hAnsi="仿宋" w:eastAsia="仿宋" w:cs="仿宋"/>
          <w:spacing w:val="3"/>
          <w:sz w:val="24"/>
          <w:szCs w:val="24"/>
          <w:u w:val="single"/>
        </w:rPr>
        <w:t xml:space="preserve"> </w:t>
      </w:r>
      <w:r>
        <w:rPr>
          <w:rFonts w:hint="eastAsia" w:ascii="仿宋" w:hAnsi="仿宋" w:eastAsia="仿宋" w:cs="仿宋"/>
          <w:spacing w:val="3"/>
          <w:sz w:val="24"/>
          <w:szCs w:val="24"/>
          <w:u w:val="single"/>
          <w:lang w:eastAsia="zh-CN"/>
        </w:rPr>
        <w:t>肆</w:t>
      </w:r>
      <w:r>
        <w:rPr>
          <w:rFonts w:hint="eastAsia" w:ascii="仿宋" w:hAnsi="仿宋" w:eastAsia="仿宋" w:cs="仿宋"/>
          <w:spacing w:val="3"/>
          <w:sz w:val="24"/>
          <w:szCs w:val="24"/>
          <w:u w:val="single"/>
          <w:lang w:val="en-US" w:eastAsia="zh-CN"/>
        </w:rPr>
        <w:t xml:space="preserve"> </w:t>
      </w:r>
      <w:r>
        <w:rPr>
          <w:rFonts w:hint="eastAsia" w:ascii="仿宋" w:hAnsi="仿宋" w:eastAsia="仿宋" w:cs="仿宋"/>
          <w:spacing w:val="3"/>
          <w:sz w:val="24"/>
          <w:szCs w:val="24"/>
        </w:rPr>
        <w:t>份</w:t>
      </w:r>
      <w:r>
        <w:rPr>
          <w:rFonts w:hint="eastAsia" w:ascii="仿宋" w:hAnsi="仿宋" w:eastAsia="仿宋" w:cs="仿宋"/>
          <w:spacing w:val="3"/>
          <w:sz w:val="24"/>
          <w:szCs w:val="24"/>
          <w:lang w:eastAsia="zh-CN"/>
        </w:rPr>
        <w:t>，</w:t>
      </w:r>
      <w:r>
        <w:rPr>
          <w:rFonts w:hint="eastAsia" w:ascii="仿宋" w:hAnsi="仿宋" w:eastAsia="仿宋" w:cs="仿宋"/>
          <w:spacing w:val="3"/>
          <w:sz w:val="24"/>
          <w:szCs w:val="24"/>
        </w:rPr>
        <w:t>正副本不一致的以正本为准。</w:t>
      </w:r>
    </w:p>
    <w:p w14:paraId="3C074C8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2" w:firstLineChars="200"/>
        <w:textAlignment w:val="baseline"/>
        <w:rPr>
          <w:rFonts w:hint="eastAsia" w:ascii="仿宋" w:hAnsi="仿宋" w:eastAsia="仿宋" w:cs="仿宋"/>
          <w:spacing w:val="3"/>
          <w:sz w:val="24"/>
          <w:szCs w:val="24"/>
        </w:rPr>
      </w:pPr>
      <w:r>
        <w:rPr>
          <w:rFonts w:hint="eastAsia" w:ascii="仿宋" w:hAnsi="仿宋" w:eastAsia="仿宋" w:cs="仿宋"/>
          <w:spacing w:val="3"/>
          <w:sz w:val="24"/>
          <w:szCs w:val="24"/>
        </w:rPr>
        <w:t>2、合同未尽事宜，双方另行签订补充协议。补充协议是合同的组成部分。</w:t>
      </w:r>
    </w:p>
    <w:p w14:paraId="6D2DC59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2" w:firstLineChars="200"/>
        <w:textAlignment w:val="baseline"/>
        <w:rPr>
          <w:rFonts w:hint="eastAsia" w:ascii="仿宋" w:hAnsi="仿宋" w:eastAsia="仿宋" w:cs="仿宋"/>
          <w:spacing w:val="3"/>
          <w:sz w:val="24"/>
          <w:szCs w:val="24"/>
        </w:rPr>
      </w:pPr>
      <w:r>
        <w:rPr>
          <w:rFonts w:hint="eastAsia" w:ascii="仿宋" w:hAnsi="仿宋" w:eastAsia="仿宋" w:cs="仿宋"/>
          <w:spacing w:val="3"/>
          <w:sz w:val="24"/>
          <w:szCs w:val="24"/>
        </w:rPr>
        <w:t>附件1:中标全费用综合单价(含税)明细表</w:t>
      </w:r>
    </w:p>
    <w:p w14:paraId="172D686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2" w:firstLineChars="200"/>
        <w:textAlignment w:val="baseline"/>
        <w:rPr>
          <w:rFonts w:hint="eastAsia" w:ascii="仿宋" w:hAnsi="仿宋" w:eastAsia="仿宋" w:cs="仿宋"/>
          <w:spacing w:val="3"/>
          <w:sz w:val="24"/>
          <w:szCs w:val="24"/>
        </w:rPr>
      </w:pPr>
      <w:r>
        <w:rPr>
          <w:rFonts w:hint="eastAsia" w:ascii="仿宋" w:hAnsi="仿宋" w:eastAsia="仿宋" w:cs="仿宋"/>
          <w:spacing w:val="3"/>
          <w:sz w:val="24"/>
          <w:szCs w:val="24"/>
        </w:rPr>
        <w:t>附件2:项目廉政合同</w:t>
      </w:r>
    </w:p>
    <w:p w14:paraId="42C7C1A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2" w:firstLineChars="200"/>
        <w:textAlignment w:val="baseline"/>
        <w:rPr>
          <w:rFonts w:hint="eastAsia" w:ascii="仿宋" w:hAnsi="仿宋" w:eastAsia="仿宋" w:cs="仿宋"/>
          <w:spacing w:val="3"/>
          <w:sz w:val="24"/>
          <w:szCs w:val="24"/>
        </w:rPr>
      </w:pPr>
      <w:r>
        <w:rPr>
          <w:rFonts w:hint="eastAsia" w:ascii="仿宋" w:hAnsi="仿宋" w:eastAsia="仿宋" w:cs="仿宋"/>
          <w:spacing w:val="3"/>
          <w:sz w:val="24"/>
          <w:szCs w:val="24"/>
        </w:rPr>
        <w:t>附件3:管理目标及标准</w:t>
      </w:r>
    </w:p>
    <w:p w14:paraId="78713A7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2" w:firstLineChars="200"/>
        <w:textAlignment w:val="baseline"/>
        <w:rPr>
          <w:rFonts w:hint="eastAsia" w:ascii="仿宋" w:hAnsi="仿宋" w:eastAsia="仿宋" w:cs="仿宋"/>
          <w:spacing w:val="3"/>
          <w:sz w:val="24"/>
          <w:szCs w:val="24"/>
        </w:rPr>
      </w:pPr>
      <w:r>
        <w:rPr>
          <w:rFonts w:hint="eastAsia" w:ascii="仿宋" w:hAnsi="仿宋" w:eastAsia="仿宋" w:cs="仿宋"/>
          <w:spacing w:val="3"/>
          <w:sz w:val="24"/>
          <w:szCs w:val="24"/>
        </w:rPr>
        <w:t>附件4:考核打分表</w:t>
      </w:r>
    </w:p>
    <w:p w14:paraId="270FB0D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48" w:firstLineChars="200"/>
        <w:textAlignment w:val="baseline"/>
        <w:rPr>
          <w:rFonts w:hint="eastAsia" w:ascii="仿宋" w:hAnsi="仿宋" w:eastAsia="仿宋" w:cs="仿宋"/>
          <w:sz w:val="24"/>
          <w:szCs w:val="24"/>
        </w:rPr>
      </w:pPr>
      <w:r>
        <w:rPr>
          <w:rFonts w:hint="eastAsia" w:ascii="仿宋" w:hAnsi="仿宋" w:eastAsia="仿宋" w:cs="仿宋"/>
          <w:spacing w:val="17"/>
          <w:sz w:val="24"/>
          <w:szCs w:val="24"/>
        </w:rPr>
        <w:t>(以下无正文)</w:t>
      </w:r>
    </w:p>
    <w:p w14:paraId="50591A88">
      <w:pPr>
        <w:rPr>
          <w:rFonts w:hint="eastAsia" w:ascii="仿宋" w:hAnsi="仿宋" w:eastAsia="仿宋" w:cs="仿宋"/>
          <w:sz w:val="24"/>
          <w:szCs w:val="24"/>
        </w:rPr>
      </w:pPr>
      <w:r>
        <w:rPr>
          <w:rFonts w:hint="eastAsia" w:ascii="仿宋" w:hAnsi="仿宋" w:eastAsia="仿宋" w:cs="仿宋"/>
          <w:sz w:val="24"/>
          <w:szCs w:val="24"/>
        </w:rPr>
        <w:br w:type="page"/>
      </w:r>
    </w:p>
    <w:p w14:paraId="288C328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sz w:val="24"/>
          <w:szCs w:val="24"/>
        </w:rPr>
      </w:pPr>
    </w:p>
    <w:tbl>
      <w:tblPr>
        <w:tblStyle w:val="9"/>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919"/>
        <w:gridCol w:w="4920"/>
      </w:tblGrid>
      <w:tr w14:paraId="11A8B4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919" w:type="dxa"/>
          </w:tcPr>
          <w:p w14:paraId="5428DD4C">
            <w:pPr>
              <w:keepNext w:val="0"/>
              <w:keepLines w:val="0"/>
              <w:pageBreakBefore w:val="0"/>
              <w:widowControl/>
              <w:kinsoku w:val="0"/>
              <w:wordWrap/>
              <w:overflowPunct/>
              <w:topLinePunct w:val="0"/>
              <w:autoSpaceDE w:val="0"/>
              <w:autoSpaceDN w:val="0"/>
              <w:bidi w:val="0"/>
              <w:adjustRightInd w:val="0"/>
              <w:snapToGrid w:val="0"/>
              <w:spacing w:line="360" w:lineRule="auto"/>
              <w:ind w:right="0"/>
              <w:textAlignment w:val="baseline"/>
              <w:rPr>
                <w:rFonts w:hint="eastAsia" w:ascii="仿宋" w:hAnsi="仿宋" w:eastAsia="仿宋" w:cs="仿宋"/>
                <w:sz w:val="24"/>
                <w:szCs w:val="24"/>
                <w:vertAlign w:val="baseline"/>
              </w:rPr>
            </w:pPr>
            <w:r>
              <w:rPr>
                <w:rFonts w:hint="eastAsia" w:ascii="仿宋" w:hAnsi="仿宋" w:eastAsia="仿宋" w:cs="仿宋"/>
                <w:spacing w:val="18"/>
                <w:sz w:val="24"/>
                <w:szCs w:val="24"/>
              </w:rPr>
              <w:t>甲</w:t>
            </w:r>
            <w:r>
              <w:rPr>
                <w:rFonts w:hint="eastAsia" w:ascii="仿宋" w:hAnsi="仿宋" w:eastAsia="仿宋" w:cs="仿宋"/>
                <w:spacing w:val="-36"/>
                <w:sz w:val="24"/>
                <w:szCs w:val="24"/>
              </w:rPr>
              <w:t xml:space="preserve"> </w:t>
            </w:r>
            <w:r>
              <w:rPr>
                <w:rFonts w:hint="eastAsia" w:ascii="仿宋" w:hAnsi="仿宋" w:eastAsia="仿宋" w:cs="仿宋"/>
                <w:spacing w:val="18"/>
                <w:sz w:val="24"/>
                <w:szCs w:val="24"/>
              </w:rPr>
              <w:t>方</w:t>
            </w:r>
            <w:r>
              <w:rPr>
                <w:rFonts w:hint="eastAsia" w:ascii="仿宋" w:hAnsi="仿宋" w:eastAsia="仿宋" w:cs="仿宋"/>
                <w:spacing w:val="-19"/>
                <w:sz w:val="24"/>
                <w:szCs w:val="24"/>
              </w:rPr>
              <w:t xml:space="preserve"> </w:t>
            </w:r>
            <w:r>
              <w:rPr>
                <w:rFonts w:hint="eastAsia" w:ascii="仿宋" w:hAnsi="仿宋" w:eastAsia="仿宋" w:cs="仿宋"/>
                <w:spacing w:val="18"/>
                <w:sz w:val="24"/>
                <w:szCs w:val="24"/>
              </w:rPr>
              <w:t>：</w:t>
            </w:r>
            <w:r>
              <w:rPr>
                <w:rFonts w:hint="eastAsia" w:ascii="仿宋" w:hAnsi="仿宋" w:eastAsia="仿宋" w:cs="仿宋"/>
                <w:spacing w:val="18"/>
                <w:sz w:val="24"/>
                <w:szCs w:val="24"/>
                <w:lang w:val="en-US" w:eastAsia="zh-CN"/>
              </w:rPr>
              <w:t xml:space="preserve">                   </w:t>
            </w:r>
            <w:r>
              <w:rPr>
                <w:rFonts w:hint="eastAsia" w:ascii="仿宋" w:hAnsi="仿宋" w:eastAsia="仿宋" w:cs="仿宋"/>
                <w:spacing w:val="18"/>
                <w:sz w:val="24"/>
                <w:szCs w:val="24"/>
              </w:rPr>
              <w:t>(公章)</w:t>
            </w:r>
          </w:p>
        </w:tc>
        <w:tc>
          <w:tcPr>
            <w:tcW w:w="4920" w:type="dxa"/>
          </w:tcPr>
          <w:p w14:paraId="0A51B86D">
            <w:pPr>
              <w:keepNext w:val="0"/>
              <w:keepLines w:val="0"/>
              <w:pageBreakBefore w:val="0"/>
              <w:widowControl/>
              <w:kinsoku w:val="0"/>
              <w:wordWrap/>
              <w:overflowPunct/>
              <w:topLinePunct w:val="0"/>
              <w:autoSpaceDE w:val="0"/>
              <w:autoSpaceDN w:val="0"/>
              <w:bidi w:val="0"/>
              <w:adjustRightInd w:val="0"/>
              <w:snapToGrid w:val="0"/>
              <w:spacing w:line="360" w:lineRule="auto"/>
              <w:ind w:right="0"/>
              <w:textAlignment w:val="baseline"/>
              <w:rPr>
                <w:rFonts w:hint="eastAsia" w:ascii="仿宋" w:hAnsi="仿宋" w:eastAsia="仿宋" w:cs="仿宋"/>
                <w:sz w:val="24"/>
                <w:szCs w:val="24"/>
                <w:vertAlign w:val="baseline"/>
              </w:rPr>
            </w:pPr>
            <w:r>
              <w:rPr>
                <w:rFonts w:hint="eastAsia" w:ascii="仿宋" w:hAnsi="仿宋" w:eastAsia="仿宋" w:cs="仿宋"/>
                <w:sz w:val="24"/>
                <w:szCs w:val="24"/>
                <w:vertAlign w:val="baseline"/>
              </w:rPr>
              <w:t>乙方 ：</w:t>
            </w:r>
            <w:r>
              <w:rPr>
                <w:rFonts w:hint="eastAsia" w:ascii="仿宋" w:hAnsi="仿宋" w:eastAsia="仿宋" w:cs="仿宋"/>
                <w:sz w:val="24"/>
                <w:szCs w:val="24"/>
                <w:vertAlign w:val="baseline"/>
                <w:lang w:val="en-US" w:eastAsia="zh-CN"/>
              </w:rPr>
              <w:t xml:space="preserve">                          </w:t>
            </w:r>
            <w:r>
              <w:rPr>
                <w:rFonts w:hint="eastAsia" w:ascii="仿宋" w:hAnsi="仿宋" w:eastAsia="仿宋" w:cs="仿宋"/>
                <w:sz w:val="24"/>
                <w:szCs w:val="24"/>
                <w:vertAlign w:val="baseline"/>
              </w:rPr>
              <w:t>(公章)</w:t>
            </w:r>
          </w:p>
        </w:tc>
      </w:tr>
      <w:tr w14:paraId="61EA76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919" w:type="dxa"/>
          </w:tcPr>
          <w:p w14:paraId="69B08AE0">
            <w:pPr>
              <w:keepNext w:val="0"/>
              <w:keepLines w:val="0"/>
              <w:pageBreakBefore w:val="0"/>
              <w:widowControl/>
              <w:kinsoku w:val="0"/>
              <w:wordWrap/>
              <w:overflowPunct/>
              <w:topLinePunct w:val="0"/>
              <w:autoSpaceDE w:val="0"/>
              <w:autoSpaceDN w:val="0"/>
              <w:bidi w:val="0"/>
              <w:adjustRightInd w:val="0"/>
              <w:snapToGrid w:val="0"/>
              <w:spacing w:line="360" w:lineRule="auto"/>
              <w:ind w:right="0"/>
              <w:textAlignment w:val="baseline"/>
              <w:rPr>
                <w:rFonts w:hint="eastAsia" w:ascii="仿宋" w:hAnsi="仿宋" w:eastAsia="仿宋" w:cs="仿宋"/>
                <w:sz w:val="24"/>
                <w:szCs w:val="24"/>
                <w:vertAlign w:val="baseline"/>
              </w:rPr>
            </w:pPr>
            <w:r>
              <w:rPr>
                <w:rFonts w:hint="eastAsia" w:ascii="仿宋" w:hAnsi="仿宋" w:eastAsia="仿宋" w:cs="仿宋"/>
                <w:sz w:val="24"/>
                <w:szCs w:val="24"/>
                <w:vertAlign w:val="baseline"/>
              </w:rPr>
              <w:t>地址：</w:t>
            </w:r>
          </w:p>
        </w:tc>
        <w:tc>
          <w:tcPr>
            <w:tcW w:w="4920" w:type="dxa"/>
          </w:tcPr>
          <w:p w14:paraId="0AB75C7E">
            <w:pPr>
              <w:keepNext w:val="0"/>
              <w:keepLines w:val="0"/>
              <w:pageBreakBefore w:val="0"/>
              <w:widowControl/>
              <w:kinsoku w:val="0"/>
              <w:wordWrap/>
              <w:overflowPunct/>
              <w:topLinePunct w:val="0"/>
              <w:autoSpaceDE w:val="0"/>
              <w:autoSpaceDN w:val="0"/>
              <w:bidi w:val="0"/>
              <w:adjustRightInd w:val="0"/>
              <w:snapToGrid w:val="0"/>
              <w:spacing w:line="360" w:lineRule="auto"/>
              <w:ind w:right="0"/>
              <w:textAlignment w:val="baseline"/>
              <w:rPr>
                <w:rFonts w:hint="eastAsia" w:ascii="仿宋" w:hAnsi="仿宋" w:eastAsia="仿宋" w:cs="仿宋"/>
                <w:sz w:val="24"/>
                <w:szCs w:val="24"/>
                <w:vertAlign w:val="baseline"/>
              </w:rPr>
            </w:pPr>
            <w:r>
              <w:rPr>
                <w:rFonts w:hint="eastAsia" w:ascii="仿宋" w:hAnsi="仿宋" w:eastAsia="仿宋" w:cs="仿宋"/>
                <w:sz w:val="24"/>
                <w:szCs w:val="24"/>
                <w:vertAlign w:val="baseline"/>
              </w:rPr>
              <w:t>地址 ：</w:t>
            </w:r>
          </w:p>
        </w:tc>
      </w:tr>
      <w:tr w14:paraId="591C9B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919" w:type="dxa"/>
          </w:tcPr>
          <w:p w14:paraId="549706A6">
            <w:pPr>
              <w:keepNext w:val="0"/>
              <w:keepLines w:val="0"/>
              <w:pageBreakBefore w:val="0"/>
              <w:widowControl/>
              <w:kinsoku w:val="0"/>
              <w:wordWrap/>
              <w:overflowPunct/>
              <w:topLinePunct w:val="0"/>
              <w:autoSpaceDE w:val="0"/>
              <w:autoSpaceDN w:val="0"/>
              <w:bidi w:val="0"/>
              <w:adjustRightInd w:val="0"/>
              <w:snapToGrid w:val="0"/>
              <w:spacing w:line="360" w:lineRule="auto"/>
              <w:ind w:right="0"/>
              <w:textAlignment w:val="baseline"/>
              <w:rPr>
                <w:rFonts w:hint="eastAsia" w:ascii="仿宋" w:hAnsi="仿宋" w:eastAsia="仿宋" w:cs="仿宋"/>
                <w:sz w:val="24"/>
                <w:szCs w:val="24"/>
                <w:vertAlign w:val="baseline"/>
              </w:rPr>
            </w:pPr>
            <w:r>
              <w:rPr>
                <w:rFonts w:hint="eastAsia" w:ascii="仿宋" w:hAnsi="仿宋" w:eastAsia="仿宋" w:cs="仿宋"/>
                <w:sz w:val="24"/>
                <w:szCs w:val="24"/>
                <w:vertAlign w:val="baseline"/>
              </w:rPr>
              <w:t>法定代表人：</w:t>
            </w:r>
          </w:p>
          <w:p w14:paraId="303D0ACD">
            <w:pPr>
              <w:keepNext w:val="0"/>
              <w:keepLines w:val="0"/>
              <w:pageBreakBefore w:val="0"/>
              <w:widowControl/>
              <w:kinsoku w:val="0"/>
              <w:wordWrap/>
              <w:overflowPunct/>
              <w:topLinePunct w:val="0"/>
              <w:autoSpaceDE w:val="0"/>
              <w:autoSpaceDN w:val="0"/>
              <w:bidi w:val="0"/>
              <w:adjustRightInd w:val="0"/>
              <w:snapToGrid w:val="0"/>
              <w:spacing w:line="360" w:lineRule="auto"/>
              <w:ind w:right="0"/>
              <w:textAlignment w:val="baseline"/>
              <w:rPr>
                <w:rFonts w:hint="eastAsia" w:ascii="仿宋" w:hAnsi="仿宋" w:eastAsia="仿宋" w:cs="仿宋"/>
                <w:sz w:val="24"/>
                <w:szCs w:val="24"/>
                <w:vertAlign w:val="baseline"/>
              </w:rPr>
            </w:pPr>
            <w:r>
              <w:rPr>
                <w:rFonts w:hint="eastAsia" w:ascii="仿宋" w:hAnsi="仿宋" w:eastAsia="仿宋" w:cs="仿宋"/>
                <w:sz w:val="24"/>
                <w:szCs w:val="24"/>
                <w:vertAlign w:val="baseline"/>
              </w:rPr>
              <w:t>委托代理人：</w:t>
            </w:r>
          </w:p>
        </w:tc>
        <w:tc>
          <w:tcPr>
            <w:tcW w:w="4920" w:type="dxa"/>
          </w:tcPr>
          <w:p w14:paraId="32EB0C5D">
            <w:pPr>
              <w:keepNext w:val="0"/>
              <w:keepLines w:val="0"/>
              <w:pageBreakBefore w:val="0"/>
              <w:widowControl/>
              <w:kinsoku w:val="0"/>
              <w:wordWrap/>
              <w:overflowPunct/>
              <w:topLinePunct w:val="0"/>
              <w:autoSpaceDE w:val="0"/>
              <w:autoSpaceDN w:val="0"/>
              <w:bidi w:val="0"/>
              <w:adjustRightInd w:val="0"/>
              <w:snapToGrid w:val="0"/>
              <w:spacing w:line="360" w:lineRule="auto"/>
              <w:ind w:right="0"/>
              <w:textAlignment w:val="baseline"/>
              <w:rPr>
                <w:rFonts w:hint="eastAsia" w:ascii="仿宋" w:hAnsi="仿宋" w:eastAsia="仿宋" w:cs="仿宋"/>
                <w:sz w:val="24"/>
                <w:szCs w:val="24"/>
                <w:vertAlign w:val="baseline"/>
              </w:rPr>
            </w:pPr>
            <w:r>
              <w:rPr>
                <w:rFonts w:hint="eastAsia" w:ascii="仿宋" w:hAnsi="仿宋" w:eastAsia="仿宋" w:cs="仿宋"/>
                <w:sz w:val="24"/>
                <w:szCs w:val="24"/>
                <w:vertAlign w:val="baseline"/>
              </w:rPr>
              <w:t>法定代表人：</w:t>
            </w:r>
          </w:p>
          <w:p w14:paraId="2AED34AC">
            <w:pPr>
              <w:keepNext w:val="0"/>
              <w:keepLines w:val="0"/>
              <w:pageBreakBefore w:val="0"/>
              <w:widowControl/>
              <w:kinsoku w:val="0"/>
              <w:wordWrap/>
              <w:overflowPunct/>
              <w:topLinePunct w:val="0"/>
              <w:autoSpaceDE w:val="0"/>
              <w:autoSpaceDN w:val="0"/>
              <w:bidi w:val="0"/>
              <w:adjustRightInd w:val="0"/>
              <w:snapToGrid w:val="0"/>
              <w:spacing w:line="360" w:lineRule="auto"/>
              <w:ind w:right="0"/>
              <w:textAlignment w:val="baseline"/>
              <w:rPr>
                <w:rFonts w:hint="eastAsia" w:ascii="仿宋" w:hAnsi="仿宋" w:eastAsia="仿宋" w:cs="仿宋"/>
                <w:sz w:val="24"/>
                <w:szCs w:val="24"/>
                <w:vertAlign w:val="baseline"/>
              </w:rPr>
            </w:pPr>
            <w:r>
              <w:rPr>
                <w:rFonts w:hint="eastAsia" w:ascii="仿宋" w:hAnsi="仿宋" w:eastAsia="仿宋" w:cs="仿宋"/>
                <w:sz w:val="24"/>
                <w:szCs w:val="24"/>
                <w:vertAlign w:val="baseline"/>
              </w:rPr>
              <w:t>委托代理人：</w:t>
            </w:r>
          </w:p>
        </w:tc>
      </w:tr>
      <w:tr w14:paraId="06DFF9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919" w:type="dxa"/>
          </w:tcPr>
          <w:p w14:paraId="3876A02A">
            <w:pPr>
              <w:keepNext w:val="0"/>
              <w:keepLines w:val="0"/>
              <w:pageBreakBefore w:val="0"/>
              <w:widowControl/>
              <w:kinsoku w:val="0"/>
              <w:wordWrap/>
              <w:overflowPunct/>
              <w:topLinePunct w:val="0"/>
              <w:autoSpaceDE w:val="0"/>
              <w:autoSpaceDN w:val="0"/>
              <w:bidi w:val="0"/>
              <w:adjustRightInd w:val="0"/>
              <w:snapToGrid w:val="0"/>
              <w:spacing w:line="360" w:lineRule="auto"/>
              <w:ind w:right="0"/>
              <w:textAlignment w:val="baseline"/>
              <w:rPr>
                <w:rFonts w:hint="eastAsia" w:ascii="仿宋" w:hAnsi="仿宋" w:eastAsia="仿宋" w:cs="仿宋"/>
                <w:sz w:val="24"/>
                <w:szCs w:val="24"/>
                <w:vertAlign w:val="baseline"/>
              </w:rPr>
            </w:pPr>
            <w:r>
              <w:rPr>
                <w:rFonts w:hint="eastAsia" w:ascii="仿宋" w:hAnsi="仿宋" w:eastAsia="仿宋" w:cs="仿宋"/>
                <w:sz w:val="24"/>
                <w:szCs w:val="24"/>
                <w:vertAlign w:val="baseline"/>
              </w:rPr>
              <w:t>邮政编码：</w:t>
            </w:r>
          </w:p>
        </w:tc>
        <w:tc>
          <w:tcPr>
            <w:tcW w:w="4920" w:type="dxa"/>
          </w:tcPr>
          <w:p w14:paraId="6CC70672">
            <w:pPr>
              <w:keepNext w:val="0"/>
              <w:keepLines w:val="0"/>
              <w:pageBreakBefore w:val="0"/>
              <w:widowControl/>
              <w:kinsoku w:val="0"/>
              <w:wordWrap/>
              <w:overflowPunct/>
              <w:topLinePunct w:val="0"/>
              <w:autoSpaceDE w:val="0"/>
              <w:autoSpaceDN w:val="0"/>
              <w:bidi w:val="0"/>
              <w:adjustRightInd w:val="0"/>
              <w:snapToGrid w:val="0"/>
              <w:spacing w:line="360" w:lineRule="auto"/>
              <w:ind w:right="0"/>
              <w:textAlignment w:val="baseline"/>
              <w:rPr>
                <w:rFonts w:hint="eastAsia" w:ascii="仿宋" w:hAnsi="仿宋" w:eastAsia="仿宋" w:cs="仿宋"/>
                <w:sz w:val="24"/>
                <w:szCs w:val="24"/>
                <w:vertAlign w:val="baseline"/>
              </w:rPr>
            </w:pPr>
            <w:r>
              <w:rPr>
                <w:rFonts w:hint="eastAsia" w:ascii="仿宋" w:hAnsi="仿宋" w:eastAsia="仿宋" w:cs="仿宋"/>
                <w:sz w:val="24"/>
                <w:szCs w:val="24"/>
                <w:vertAlign w:val="baseline"/>
              </w:rPr>
              <w:t>邮政编码：</w:t>
            </w:r>
          </w:p>
        </w:tc>
      </w:tr>
      <w:tr w14:paraId="097798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919" w:type="dxa"/>
          </w:tcPr>
          <w:p w14:paraId="23D84D74">
            <w:pPr>
              <w:keepNext w:val="0"/>
              <w:keepLines w:val="0"/>
              <w:pageBreakBefore w:val="0"/>
              <w:widowControl/>
              <w:kinsoku w:val="0"/>
              <w:wordWrap/>
              <w:overflowPunct/>
              <w:topLinePunct w:val="0"/>
              <w:autoSpaceDE w:val="0"/>
              <w:autoSpaceDN w:val="0"/>
              <w:bidi w:val="0"/>
              <w:adjustRightInd w:val="0"/>
              <w:snapToGrid w:val="0"/>
              <w:spacing w:line="360" w:lineRule="auto"/>
              <w:ind w:right="0"/>
              <w:textAlignment w:val="baseline"/>
              <w:rPr>
                <w:rFonts w:hint="eastAsia" w:ascii="仿宋" w:hAnsi="仿宋" w:eastAsia="仿宋" w:cs="仿宋"/>
                <w:sz w:val="24"/>
                <w:szCs w:val="24"/>
                <w:vertAlign w:val="baseline"/>
              </w:rPr>
            </w:pPr>
            <w:r>
              <w:rPr>
                <w:rFonts w:hint="eastAsia" w:ascii="仿宋" w:hAnsi="仿宋" w:eastAsia="仿宋" w:cs="仿宋"/>
                <w:sz w:val="24"/>
                <w:szCs w:val="24"/>
                <w:vertAlign w:val="baseline"/>
              </w:rPr>
              <w:t>合同订立时间：   年   月    日</w:t>
            </w:r>
          </w:p>
        </w:tc>
        <w:tc>
          <w:tcPr>
            <w:tcW w:w="4920" w:type="dxa"/>
          </w:tcPr>
          <w:p w14:paraId="53960438">
            <w:pPr>
              <w:keepNext w:val="0"/>
              <w:keepLines w:val="0"/>
              <w:pageBreakBefore w:val="0"/>
              <w:widowControl/>
              <w:kinsoku w:val="0"/>
              <w:wordWrap/>
              <w:overflowPunct/>
              <w:topLinePunct w:val="0"/>
              <w:autoSpaceDE w:val="0"/>
              <w:autoSpaceDN w:val="0"/>
              <w:bidi w:val="0"/>
              <w:adjustRightInd w:val="0"/>
              <w:snapToGrid w:val="0"/>
              <w:spacing w:line="360" w:lineRule="auto"/>
              <w:ind w:right="0"/>
              <w:textAlignment w:val="baseline"/>
              <w:rPr>
                <w:rFonts w:hint="eastAsia" w:ascii="仿宋" w:hAnsi="仿宋" w:eastAsia="仿宋" w:cs="仿宋"/>
                <w:sz w:val="24"/>
                <w:szCs w:val="24"/>
                <w:vertAlign w:val="baseline"/>
              </w:rPr>
            </w:pPr>
          </w:p>
        </w:tc>
      </w:tr>
      <w:tr w14:paraId="33E753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919" w:type="dxa"/>
          </w:tcPr>
          <w:p w14:paraId="36E74527">
            <w:pPr>
              <w:keepNext w:val="0"/>
              <w:keepLines w:val="0"/>
              <w:pageBreakBefore w:val="0"/>
              <w:widowControl/>
              <w:kinsoku w:val="0"/>
              <w:wordWrap/>
              <w:overflowPunct/>
              <w:topLinePunct w:val="0"/>
              <w:autoSpaceDE w:val="0"/>
              <w:autoSpaceDN w:val="0"/>
              <w:bidi w:val="0"/>
              <w:adjustRightInd w:val="0"/>
              <w:snapToGrid w:val="0"/>
              <w:spacing w:line="360" w:lineRule="auto"/>
              <w:ind w:right="0"/>
              <w:textAlignment w:val="baseline"/>
              <w:rPr>
                <w:rFonts w:hint="eastAsia" w:ascii="仿宋" w:hAnsi="仿宋" w:eastAsia="仿宋" w:cs="仿宋"/>
                <w:sz w:val="24"/>
                <w:szCs w:val="24"/>
                <w:vertAlign w:val="baseline"/>
              </w:rPr>
            </w:pPr>
            <w:r>
              <w:rPr>
                <w:rFonts w:hint="eastAsia" w:ascii="仿宋" w:hAnsi="仿宋" w:eastAsia="仿宋" w:cs="仿宋"/>
                <w:sz w:val="24"/>
                <w:szCs w:val="24"/>
                <w:vertAlign w:val="baseline"/>
              </w:rPr>
              <w:t>合同订立地点：</w:t>
            </w:r>
          </w:p>
        </w:tc>
        <w:tc>
          <w:tcPr>
            <w:tcW w:w="4920" w:type="dxa"/>
          </w:tcPr>
          <w:p w14:paraId="3D819FE9">
            <w:pPr>
              <w:keepNext w:val="0"/>
              <w:keepLines w:val="0"/>
              <w:pageBreakBefore w:val="0"/>
              <w:widowControl/>
              <w:kinsoku w:val="0"/>
              <w:wordWrap/>
              <w:overflowPunct/>
              <w:topLinePunct w:val="0"/>
              <w:autoSpaceDE w:val="0"/>
              <w:autoSpaceDN w:val="0"/>
              <w:bidi w:val="0"/>
              <w:adjustRightInd w:val="0"/>
              <w:snapToGrid w:val="0"/>
              <w:spacing w:line="360" w:lineRule="auto"/>
              <w:ind w:right="0"/>
              <w:textAlignment w:val="baseline"/>
              <w:rPr>
                <w:rFonts w:hint="eastAsia" w:ascii="仿宋" w:hAnsi="仿宋" w:eastAsia="仿宋" w:cs="仿宋"/>
                <w:sz w:val="24"/>
                <w:szCs w:val="24"/>
                <w:vertAlign w:val="baseline"/>
              </w:rPr>
            </w:pPr>
          </w:p>
        </w:tc>
      </w:tr>
    </w:tbl>
    <w:p w14:paraId="0211C4A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sz w:val="24"/>
          <w:szCs w:val="24"/>
        </w:rPr>
        <w:sectPr>
          <w:footerReference r:id="rId5" w:type="default"/>
          <w:pgSz w:w="11900" w:h="16830"/>
          <w:pgMar w:top="1336" w:right="1075" w:bottom="1281" w:left="1160" w:header="0" w:footer="33" w:gutter="0"/>
          <w:cols w:space="720" w:num="1"/>
        </w:sectPr>
      </w:pPr>
    </w:p>
    <w:p w14:paraId="4FF19CE5">
      <w:pPr>
        <w:keepNext w:val="0"/>
        <w:keepLines w:val="0"/>
        <w:pageBreakBefore w:val="0"/>
        <w:widowControl/>
        <w:kinsoku w:val="0"/>
        <w:wordWrap/>
        <w:overflowPunct/>
        <w:topLinePunct w:val="0"/>
        <w:autoSpaceDE w:val="0"/>
        <w:autoSpaceDN w:val="0"/>
        <w:bidi w:val="0"/>
        <w:adjustRightInd w:val="0"/>
        <w:snapToGrid w:val="0"/>
        <w:spacing w:line="360" w:lineRule="auto"/>
        <w:ind w:right="0"/>
        <w:textAlignment w:val="baseline"/>
        <w:rPr>
          <w:rFonts w:hint="eastAsia" w:ascii="仿宋" w:hAnsi="仿宋" w:eastAsia="仿宋" w:cs="仿宋"/>
          <w:sz w:val="24"/>
          <w:szCs w:val="24"/>
        </w:rPr>
      </w:pPr>
      <w:r>
        <w:rPr>
          <w:rFonts w:hint="eastAsia" w:ascii="仿宋" w:hAnsi="仿宋" w:eastAsia="仿宋" w:cs="仿宋"/>
          <w:spacing w:val="23"/>
          <w:sz w:val="24"/>
          <w:szCs w:val="24"/>
        </w:rPr>
        <w:t>附件1:全费用综合单价(含税)明细表</w:t>
      </w:r>
    </w:p>
    <w:p w14:paraId="44A2294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sz w:val="24"/>
          <w:szCs w:val="24"/>
        </w:rPr>
        <w:sectPr>
          <w:footerReference r:id="rId6" w:type="default"/>
          <w:pgSz w:w="11900" w:h="16830"/>
          <w:pgMar w:top="1176" w:right="1785" w:bottom="150" w:left="1170" w:header="0" w:footer="33" w:gutter="0"/>
          <w:cols w:space="720" w:num="1"/>
        </w:sectPr>
      </w:pPr>
    </w:p>
    <w:p w14:paraId="108AB337">
      <w:pPr>
        <w:keepNext w:val="0"/>
        <w:keepLines w:val="0"/>
        <w:pageBreakBefore w:val="0"/>
        <w:widowControl/>
        <w:kinsoku w:val="0"/>
        <w:wordWrap/>
        <w:overflowPunct/>
        <w:topLinePunct w:val="0"/>
        <w:autoSpaceDE w:val="0"/>
        <w:autoSpaceDN w:val="0"/>
        <w:bidi w:val="0"/>
        <w:adjustRightInd w:val="0"/>
        <w:snapToGrid w:val="0"/>
        <w:spacing w:line="360" w:lineRule="auto"/>
        <w:ind w:right="0"/>
        <w:textAlignment w:val="baseline"/>
        <w:rPr>
          <w:rFonts w:hint="eastAsia" w:ascii="仿宋" w:hAnsi="仿宋" w:eastAsia="仿宋" w:cs="仿宋"/>
          <w:sz w:val="24"/>
          <w:szCs w:val="24"/>
        </w:rPr>
      </w:pPr>
      <w:r>
        <w:rPr>
          <w:rFonts w:hint="eastAsia" w:ascii="仿宋" w:hAnsi="仿宋" w:eastAsia="仿宋" w:cs="仿宋"/>
          <w:color w:val="404040"/>
          <w:spacing w:val="24"/>
          <w:sz w:val="24"/>
          <w:szCs w:val="24"/>
        </w:rPr>
        <w:t>附件2:</w:t>
      </w:r>
    </w:p>
    <w:p w14:paraId="1B2F7DE2">
      <w:pPr>
        <w:keepNext w:val="0"/>
        <w:keepLines w:val="0"/>
        <w:pageBreakBefore w:val="0"/>
        <w:widowControl/>
        <w:kinsoku w:val="0"/>
        <w:wordWrap/>
        <w:overflowPunct/>
        <w:topLinePunct w:val="0"/>
        <w:autoSpaceDE w:val="0"/>
        <w:autoSpaceDN w:val="0"/>
        <w:bidi w:val="0"/>
        <w:adjustRightInd w:val="0"/>
        <w:snapToGrid w:val="0"/>
        <w:spacing w:line="360" w:lineRule="auto"/>
        <w:ind w:right="0"/>
        <w:jc w:val="center"/>
        <w:textAlignment w:val="baseline"/>
        <w:rPr>
          <w:rFonts w:hint="eastAsia" w:ascii="仿宋" w:hAnsi="仿宋" w:eastAsia="仿宋" w:cs="仿宋"/>
          <w:sz w:val="28"/>
          <w:szCs w:val="28"/>
        </w:rPr>
      </w:pPr>
      <w:r>
        <w:rPr>
          <w:rFonts w:hint="eastAsia" w:ascii="仿宋" w:hAnsi="仿宋" w:eastAsia="仿宋" w:cs="仿宋"/>
          <w:b/>
          <w:bCs/>
          <w:spacing w:val="6"/>
          <w:sz w:val="28"/>
          <w:szCs w:val="28"/>
        </w:rPr>
        <w:t>工程项目廉政合同</w:t>
      </w:r>
    </w:p>
    <w:p w14:paraId="738017B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2" w:firstLineChars="200"/>
        <w:textAlignment w:val="baseline"/>
        <w:rPr>
          <w:rFonts w:hint="eastAsia" w:ascii="仿宋" w:hAnsi="仿宋" w:eastAsia="仿宋" w:cs="仿宋"/>
          <w:sz w:val="24"/>
          <w:szCs w:val="24"/>
        </w:rPr>
      </w:pPr>
      <w:r>
        <w:rPr>
          <w:rFonts w:hint="eastAsia" w:ascii="仿宋" w:hAnsi="仿宋" w:eastAsia="仿宋" w:cs="仿宋"/>
          <w:spacing w:val="3"/>
          <w:sz w:val="24"/>
          <w:szCs w:val="24"/>
        </w:rPr>
        <w:t>为加强项目管理，预防腐败现象的发生，规范项目实施项目承包单位、发包单位等的各项活动，防止各种谋取不正当利益的违法乱纪行为，保护国家、集体和当事人的合法权益并确保合同能够得到高效、严格的履行，根据项目实施和廉政建设的有关规定，</w:t>
      </w:r>
      <w:r>
        <w:rPr>
          <w:rFonts w:hint="eastAsia" w:ascii="仿宋" w:hAnsi="仿宋" w:eastAsia="仿宋" w:cs="仿宋"/>
          <w:spacing w:val="3"/>
          <w:sz w:val="24"/>
          <w:szCs w:val="24"/>
          <w:u w:val="single"/>
        </w:rPr>
        <w:t xml:space="preserve">         </w:t>
      </w:r>
      <w:r>
        <w:rPr>
          <w:rFonts w:hint="eastAsia" w:ascii="仿宋" w:hAnsi="仿宋" w:eastAsia="仿宋" w:cs="仿宋"/>
          <w:spacing w:val="3"/>
          <w:sz w:val="24"/>
          <w:szCs w:val="24"/>
        </w:rPr>
        <w:t>(以下筒称甲方)与</w:t>
      </w:r>
      <w:r>
        <w:rPr>
          <w:rFonts w:hint="eastAsia" w:ascii="仿宋" w:hAnsi="仿宋" w:eastAsia="仿宋" w:cs="仿宋"/>
          <w:spacing w:val="3"/>
          <w:sz w:val="24"/>
          <w:szCs w:val="24"/>
          <w:u w:val="single"/>
        </w:rPr>
        <w:t xml:space="preserve">         </w:t>
      </w:r>
      <w:r>
        <w:rPr>
          <w:rFonts w:hint="eastAsia" w:ascii="仿宋" w:hAnsi="仿宋" w:eastAsia="仿宋" w:cs="仿宋"/>
          <w:spacing w:val="3"/>
          <w:sz w:val="24"/>
          <w:szCs w:val="24"/>
        </w:rPr>
        <w:t>(以下简称乙方),特签订本廉政承诺书。</w:t>
      </w:r>
    </w:p>
    <w:p w14:paraId="3B94FCC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2" w:firstLineChars="200"/>
        <w:textAlignment w:val="baseline"/>
        <w:rPr>
          <w:rFonts w:hint="eastAsia" w:ascii="仿宋" w:hAnsi="仿宋" w:eastAsia="仿宋" w:cs="仿宋"/>
          <w:spacing w:val="3"/>
          <w:sz w:val="24"/>
          <w:szCs w:val="24"/>
        </w:rPr>
      </w:pPr>
      <w:r>
        <w:rPr>
          <w:rFonts w:hint="eastAsia" w:ascii="仿宋" w:hAnsi="仿宋" w:eastAsia="仿宋" w:cs="仿宋"/>
          <w:spacing w:val="3"/>
          <w:sz w:val="24"/>
          <w:szCs w:val="24"/>
        </w:rPr>
        <w:t>第一条：甲乙双方的权利和义务双方同意并声明，在业务活动中：</w:t>
      </w:r>
    </w:p>
    <w:p w14:paraId="692DDFB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2" w:firstLineChars="200"/>
        <w:textAlignment w:val="baseline"/>
        <w:rPr>
          <w:rFonts w:hint="eastAsia" w:ascii="仿宋" w:hAnsi="仿宋" w:eastAsia="仿宋" w:cs="仿宋"/>
          <w:spacing w:val="3"/>
          <w:sz w:val="24"/>
          <w:szCs w:val="24"/>
        </w:rPr>
      </w:pPr>
      <w:r>
        <w:rPr>
          <w:rFonts w:hint="eastAsia" w:ascii="仿宋" w:hAnsi="仿宋" w:eastAsia="仿宋" w:cs="仿宋"/>
          <w:spacing w:val="3"/>
          <w:sz w:val="24"/>
          <w:szCs w:val="24"/>
        </w:rPr>
        <w:t>(一)严格、自觉的遵守和执行国家关于市场准入、项目实施、和市场活动的有关法律、法规、相关政策以及党和国家关于党风廉政建设的各项规定。严格执行经济合同文件，执行项目实施管理制度。</w:t>
      </w:r>
    </w:p>
    <w:p w14:paraId="7041337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2" w:firstLineChars="200"/>
        <w:textAlignment w:val="baseline"/>
        <w:rPr>
          <w:rFonts w:hint="eastAsia" w:ascii="仿宋" w:hAnsi="仿宋" w:eastAsia="仿宋" w:cs="仿宋"/>
          <w:spacing w:val="3"/>
          <w:sz w:val="24"/>
          <w:szCs w:val="24"/>
        </w:rPr>
      </w:pPr>
      <w:r>
        <w:rPr>
          <w:rFonts w:hint="eastAsia" w:ascii="仿宋" w:hAnsi="仿宋" w:eastAsia="仿宋" w:cs="仿宋"/>
          <w:spacing w:val="3"/>
          <w:sz w:val="24"/>
          <w:szCs w:val="24"/>
        </w:rPr>
        <w:t>(二)双方的业务活动坚持公开、公正、诚信的原则(除法律认定的商业秘密和合同文件 另有规定之外),严格、自觉按照合同办事，不得损害国家和甲乙双方的利益。</w:t>
      </w:r>
    </w:p>
    <w:p w14:paraId="10E7384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2" w:firstLineChars="200"/>
        <w:textAlignment w:val="baseline"/>
        <w:rPr>
          <w:rFonts w:hint="eastAsia" w:ascii="仿宋" w:hAnsi="仿宋" w:eastAsia="仿宋" w:cs="仿宋"/>
          <w:spacing w:val="3"/>
          <w:sz w:val="24"/>
          <w:szCs w:val="24"/>
        </w:rPr>
      </w:pPr>
      <w:r>
        <w:rPr>
          <w:rFonts w:hint="eastAsia" w:ascii="仿宋" w:hAnsi="仿宋" w:eastAsia="仿宋" w:cs="仿宋"/>
          <w:spacing w:val="3"/>
          <w:sz w:val="24"/>
          <w:szCs w:val="24"/>
        </w:rPr>
        <w:t>(三)认真落实党风廉政建设责任制，按照谁主管谁负责的原则，建立和健全廉政制度， 经常开展廉政教育，加强对本单位工作人员职务行为的监督和管理，加强其廉政意识、守法 意识和守约意识。实行重大工程廉政承诺，并认真监督查处违法违纪行为。</w:t>
      </w:r>
    </w:p>
    <w:p w14:paraId="05AC7BC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2" w:firstLineChars="200"/>
        <w:textAlignment w:val="baseline"/>
        <w:rPr>
          <w:rFonts w:hint="eastAsia" w:ascii="仿宋" w:hAnsi="仿宋" w:eastAsia="仿宋" w:cs="仿宋"/>
          <w:spacing w:val="3"/>
          <w:sz w:val="24"/>
          <w:szCs w:val="24"/>
        </w:rPr>
      </w:pPr>
      <w:r>
        <w:rPr>
          <w:rFonts w:hint="eastAsia" w:ascii="仿宋" w:hAnsi="仿宋" w:eastAsia="仿宋" w:cs="仿宋"/>
          <w:spacing w:val="3"/>
          <w:sz w:val="24"/>
          <w:szCs w:val="24"/>
        </w:rPr>
        <w:t>(四)倡导相互监督，发现对方在业务活动中有违反廉政规定行为的，有及时提醒对方纠 正的权利和义务。发现对方违反承诺条款的，有向其上级有关部门举报并要求告知处理结果 的权利。</w:t>
      </w:r>
    </w:p>
    <w:p w14:paraId="2C7082F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2" w:firstLineChars="200"/>
        <w:textAlignment w:val="baseline"/>
        <w:rPr>
          <w:rFonts w:hint="eastAsia" w:ascii="仿宋" w:hAnsi="仿宋" w:eastAsia="仿宋" w:cs="仿宋"/>
          <w:spacing w:val="3"/>
          <w:sz w:val="24"/>
          <w:szCs w:val="24"/>
        </w:rPr>
      </w:pPr>
      <w:r>
        <w:rPr>
          <w:rFonts w:hint="eastAsia" w:ascii="仿宋" w:hAnsi="仿宋" w:eastAsia="仿宋" w:cs="仿宋"/>
          <w:spacing w:val="3"/>
          <w:sz w:val="24"/>
          <w:szCs w:val="24"/>
        </w:rPr>
        <w:t>(五)不以损害国家、集体或第三人利益为代价获取不正当的利益。</w:t>
      </w:r>
    </w:p>
    <w:p w14:paraId="6697518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2" w:firstLineChars="200"/>
        <w:textAlignment w:val="baseline"/>
        <w:rPr>
          <w:rFonts w:hint="eastAsia" w:ascii="仿宋" w:hAnsi="仿宋" w:eastAsia="仿宋" w:cs="仿宋"/>
          <w:spacing w:val="3"/>
          <w:sz w:val="24"/>
          <w:szCs w:val="24"/>
        </w:rPr>
      </w:pPr>
      <w:r>
        <w:rPr>
          <w:rFonts w:hint="eastAsia" w:ascii="仿宋" w:hAnsi="仿宋" w:eastAsia="仿宋" w:cs="仿宋"/>
          <w:spacing w:val="3"/>
          <w:sz w:val="24"/>
          <w:szCs w:val="24"/>
        </w:rPr>
        <w:t>第二条：甲方的承诺</w:t>
      </w:r>
    </w:p>
    <w:p w14:paraId="79F765B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2" w:firstLineChars="200"/>
        <w:textAlignment w:val="baseline"/>
        <w:rPr>
          <w:rFonts w:hint="eastAsia" w:ascii="仿宋" w:hAnsi="仿宋" w:eastAsia="仿宋" w:cs="仿宋"/>
          <w:spacing w:val="3"/>
          <w:sz w:val="24"/>
          <w:szCs w:val="24"/>
        </w:rPr>
      </w:pPr>
      <w:r>
        <w:rPr>
          <w:rFonts w:hint="eastAsia" w:ascii="仿宋" w:hAnsi="仿宋" w:eastAsia="仿宋" w:cs="仿宋"/>
          <w:spacing w:val="3"/>
          <w:sz w:val="24"/>
          <w:szCs w:val="24"/>
        </w:rPr>
        <w:t>甲方工作人员在项目实施中应遵守如下规定：</w:t>
      </w:r>
    </w:p>
    <w:p w14:paraId="75DCDEF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2" w:firstLineChars="200"/>
        <w:textAlignment w:val="baseline"/>
        <w:rPr>
          <w:rFonts w:hint="eastAsia" w:ascii="仿宋" w:hAnsi="仿宋" w:eastAsia="仿宋" w:cs="仿宋"/>
          <w:spacing w:val="3"/>
          <w:sz w:val="24"/>
          <w:szCs w:val="24"/>
        </w:rPr>
      </w:pPr>
      <w:r>
        <w:rPr>
          <w:rFonts w:hint="eastAsia" w:ascii="仿宋" w:hAnsi="仿宋" w:eastAsia="仿宋" w:cs="仿宋"/>
          <w:spacing w:val="3"/>
          <w:sz w:val="24"/>
          <w:szCs w:val="24"/>
        </w:rPr>
        <w:t>(一)不得索要或接受乙方钱物(现金、有价证券、信用卡、礼金、奖金、补贴、物品等), 不得要求乙方报销任何应由甲方或个人支付的费用。(二)不得接受乙方安排的可能影响公务的住宿、宴请娱乐及出国(境)、旅游观光活动； 不得接受乙方提供的合同规定外的通讯工具、交通工具和高档办公用品等。</w:t>
      </w:r>
    </w:p>
    <w:p w14:paraId="7669960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2" w:firstLineChars="200"/>
        <w:textAlignment w:val="baseline"/>
        <w:rPr>
          <w:rFonts w:hint="eastAsia" w:ascii="仿宋" w:hAnsi="仿宋" w:eastAsia="仿宋" w:cs="仿宋"/>
          <w:spacing w:val="3"/>
          <w:sz w:val="24"/>
          <w:szCs w:val="24"/>
        </w:rPr>
      </w:pPr>
      <w:r>
        <w:rPr>
          <w:rFonts w:hint="eastAsia" w:ascii="仿宋" w:hAnsi="仿宋" w:eastAsia="仿宋" w:cs="仿宋"/>
          <w:spacing w:val="3"/>
          <w:sz w:val="24"/>
          <w:szCs w:val="24"/>
        </w:rPr>
        <w:t>(三)不得要求或者接受乙方为其及家庭成员在住房装修、婚丧嫁娶、配偶子女的工作安 排及出国、出境、旅游等方面提供方便。</w:t>
      </w:r>
    </w:p>
    <w:p w14:paraId="4B29C0D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2" w:firstLineChars="200"/>
        <w:textAlignment w:val="baseline"/>
        <w:rPr>
          <w:rFonts w:hint="eastAsia" w:ascii="仿宋" w:hAnsi="仿宋" w:eastAsia="仿宋" w:cs="仿宋"/>
          <w:spacing w:val="3"/>
          <w:sz w:val="24"/>
          <w:szCs w:val="24"/>
        </w:rPr>
      </w:pPr>
      <w:r>
        <w:rPr>
          <w:rFonts w:hint="eastAsia" w:ascii="仿宋" w:hAnsi="仿宋" w:eastAsia="仿宋" w:cs="仿宋"/>
          <w:spacing w:val="3"/>
          <w:sz w:val="24"/>
          <w:szCs w:val="24"/>
        </w:rPr>
        <w:t>(四)工作人员及其配偶、子女、亲属不得从事与工程有关的材料设备供应、工程分包、 劳务等经济活动。</w:t>
      </w:r>
    </w:p>
    <w:p w14:paraId="4E8EC96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2" w:firstLineChars="200"/>
        <w:textAlignment w:val="baseline"/>
        <w:rPr>
          <w:rFonts w:hint="eastAsia" w:ascii="仿宋" w:hAnsi="仿宋" w:eastAsia="仿宋" w:cs="仿宋"/>
          <w:spacing w:val="3"/>
          <w:sz w:val="24"/>
          <w:szCs w:val="24"/>
        </w:rPr>
      </w:pPr>
      <w:r>
        <w:rPr>
          <w:rFonts w:hint="eastAsia" w:ascii="仿宋" w:hAnsi="仿宋" w:eastAsia="仿宋" w:cs="仿宋"/>
          <w:spacing w:val="3"/>
          <w:sz w:val="24"/>
          <w:szCs w:val="24"/>
        </w:rPr>
        <w:t>(五)不得违反规定向乙方推荐分包单位和设备、材料供应商，不得要求乙方购买合同规定外的材料和设备等。</w:t>
      </w:r>
    </w:p>
    <w:p w14:paraId="67D2AD5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2" w:firstLineChars="200"/>
        <w:textAlignment w:val="baseline"/>
        <w:rPr>
          <w:rFonts w:hint="eastAsia" w:ascii="仿宋" w:hAnsi="仿宋" w:eastAsia="仿宋" w:cs="仿宋"/>
          <w:spacing w:val="3"/>
          <w:sz w:val="24"/>
          <w:szCs w:val="24"/>
        </w:rPr>
      </w:pPr>
      <w:r>
        <w:rPr>
          <w:rFonts w:hint="eastAsia" w:ascii="仿宋" w:hAnsi="仿宋" w:eastAsia="仿宋" w:cs="仿宋"/>
          <w:spacing w:val="3"/>
          <w:sz w:val="24"/>
          <w:szCs w:val="24"/>
        </w:rPr>
        <w:t>(六)不得为获取乙方回扣或其他谋取私利而多签或多算工程量、多结工程款；不得从乙方承包的工程中收受回扣，谋取私利。</w:t>
      </w:r>
    </w:p>
    <w:p w14:paraId="163A162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2" w:firstLineChars="200"/>
        <w:textAlignment w:val="baseline"/>
        <w:rPr>
          <w:rFonts w:hint="eastAsia" w:ascii="仿宋" w:hAnsi="仿宋" w:eastAsia="仿宋" w:cs="仿宋"/>
          <w:spacing w:val="3"/>
          <w:sz w:val="24"/>
          <w:szCs w:val="24"/>
        </w:rPr>
      </w:pPr>
      <w:r>
        <w:rPr>
          <w:rFonts w:hint="eastAsia" w:ascii="仿宋" w:hAnsi="仿宋" w:eastAsia="仿宋" w:cs="仿宋"/>
          <w:spacing w:val="3"/>
          <w:sz w:val="24"/>
          <w:szCs w:val="24"/>
        </w:rPr>
        <w:t>(七)不得因乙方拒绝本人的不合理要求，而故意刁难乙方。</w:t>
      </w:r>
    </w:p>
    <w:p w14:paraId="79265BA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2" w:firstLineChars="200"/>
        <w:textAlignment w:val="baseline"/>
        <w:rPr>
          <w:rFonts w:hint="eastAsia" w:ascii="仿宋" w:hAnsi="仿宋" w:eastAsia="仿宋" w:cs="仿宋"/>
          <w:spacing w:val="3"/>
          <w:sz w:val="24"/>
          <w:szCs w:val="24"/>
        </w:rPr>
      </w:pPr>
      <w:r>
        <w:rPr>
          <w:rFonts w:hint="eastAsia" w:ascii="仿宋" w:hAnsi="仿宋" w:eastAsia="仿宋" w:cs="仿宋"/>
          <w:spacing w:val="3"/>
          <w:sz w:val="24"/>
          <w:szCs w:val="24"/>
        </w:rPr>
        <w:t>(八)其它有关违反廉政规定的行为。</w:t>
      </w:r>
    </w:p>
    <w:p w14:paraId="10A8661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2" w:firstLineChars="200"/>
        <w:textAlignment w:val="baseline"/>
        <w:rPr>
          <w:rFonts w:hint="eastAsia" w:ascii="仿宋" w:hAnsi="仿宋" w:eastAsia="仿宋" w:cs="仿宋"/>
          <w:spacing w:val="3"/>
          <w:sz w:val="24"/>
          <w:szCs w:val="24"/>
        </w:rPr>
      </w:pPr>
      <w:r>
        <w:rPr>
          <w:rFonts w:hint="eastAsia" w:ascii="仿宋" w:hAnsi="仿宋" w:eastAsia="仿宋" w:cs="仿宋"/>
          <w:spacing w:val="3"/>
          <w:sz w:val="24"/>
          <w:szCs w:val="24"/>
        </w:rPr>
        <w:t>第三条：乙方的承诺</w:t>
      </w:r>
    </w:p>
    <w:p w14:paraId="3F988D0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2" w:firstLineChars="200"/>
        <w:textAlignment w:val="baseline"/>
        <w:rPr>
          <w:rFonts w:hint="eastAsia" w:ascii="仿宋" w:hAnsi="仿宋" w:eastAsia="仿宋" w:cs="仿宋"/>
          <w:spacing w:val="3"/>
          <w:sz w:val="24"/>
          <w:szCs w:val="24"/>
        </w:rPr>
      </w:pPr>
      <w:r>
        <w:rPr>
          <w:rFonts w:hint="eastAsia" w:ascii="仿宋" w:hAnsi="仿宋" w:eastAsia="仿宋" w:cs="仿宋"/>
          <w:spacing w:val="3"/>
          <w:sz w:val="24"/>
          <w:szCs w:val="24"/>
        </w:rPr>
        <w:t>乙方应与甲方保持正常的业务来往，按照有关法律、法规和工作程序开展业务工 作并遵守以下规定：</w:t>
      </w:r>
    </w:p>
    <w:p w14:paraId="100DE11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2" w:firstLineChars="200"/>
        <w:textAlignment w:val="baseline"/>
        <w:rPr>
          <w:rFonts w:hint="eastAsia" w:ascii="仿宋" w:hAnsi="仿宋" w:eastAsia="仿宋" w:cs="仿宋"/>
          <w:spacing w:val="3"/>
          <w:sz w:val="24"/>
          <w:szCs w:val="24"/>
        </w:rPr>
      </w:pPr>
      <w:r>
        <w:rPr>
          <w:rFonts w:hint="eastAsia" w:ascii="仿宋" w:hAnsi="仿宋" w:eastAsia="仿宋" w:cs="仿宋"/>
          <w:spacing w:val="3"/>
          <w:sz w:val="24"/>
          <w:szCs w:val="24"/>
        </w:rPr>
        <w:t>(一)不得以任何理由向甲方赠送钱物(现金、有价证券、信用卡、礼金、奖 金、补贴、物品等)。</w:t>
      </w:r>
    </w:p>
    <w:p w14:paraId="453C5D0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2" w:firstLineChars="200"/>
        <w:textAlignment w:val="baseline"/>
        <w:rPr>
          <w:rFonts w:hint="eastAsia" w:ascii="仿宋" w:hAnsi="仿宋" w:eastAsia="仿宋" w:cs="仿宋"/>
          <w:spacing w:val="3"/>
          <w:sz w:val="24"/>
          <w:szCs w:val="24"/>
        </w:rPr>
      </w:pPr>
      <w:r>
        <w:rPr>
          <w:rFonts w:hint="eastAsia" w:ascii="仿宋" w:hAnsi="仿宋" w:eastAsia="仿宋" w:cs="仿宋"/>
          <w:spacing w:val="3"/>
          <w:sz w:val="24"/>
          <w:szCs w:val="24"/>
        </w:rPr>
        <w:t>(二)不得以任何名义为甲方报销应由甲方或个人支付的任何费用。</w:t>
      </w:r>
    </w:p>
    <w:p w14:paraId="1DA3B8F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2" w:firstLineChars="200"/>
        <w:textAlignment w:val="baseline"/>
        <w:rPr>
          <w:rFonts w:hint="eastAsia" w:ascii="仿宋" w:hAnsi="仿宋" w:eastAsia="仿宋" w:cs="仿宋"/>
          <w:spacing w:val="3"/>
          <w:sz w:val="24"/>
          <w:szCs w:val="24"/>
        </w:rPr>
      </w:pPr>
      <w:r>
        <w:rPr>
          <w:rFonts w:hint="eastAsia" w:ascii="仿宋" w:hAnsi="仿宋" w:eastAsia="仿宋" w:cs="仿宋"/>
          <w:spacing w:val="3"/>
          <w:sz w:val="24"/>
          <w:szCs w:val="24"/>
        </w:rPr>
        <w:t>(三)不准以任何理由为甲方和其它相关单位及其工作人员提供有可能影响执行公务的宴请、健身和娱乐等活动。</w:t>
      </w:r>
    </w:p>
    <w:p w14:paraId="696505E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2" w:firstLineChars="200"/>
        <w:textAlignment w:val="baseline"/>
        <w:rPr>
          <w:rFonts w:hint="eastAsia" w:ascii="仿宋" w:hAnsi="仿宋" w:eastAsia="仿宋" w:cs="仿宋"/>
          <w:spacing w:val="3"/>
          <w:sz w:val="24"/>
          <w:szCs w:val="24"/>
        </w:rPr>
      </w:pPr>
      <w:r>
        <w:rPr>
          <w:rFonts w:hint="eastAsia" w:ascii="仿宋" w:hAnsi="仿宋" w:eastAsia="仿宋" w:cs="仿宋"/>
          <w:spacing w:val="3"/>
          <w:sz w:val="24"/>
          <w:szCs w:val="24"/>
        </w:rPr>
        <w:t>(四)不得为甲方的相关人员购置或提供合同规定外的通讯工具、交通工具和高档办公用品等。</w:t>
      </w:r>
    </w:p>
    <w:p w14:paraId="55A158D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2" w:firstLineChars="200"/>
        <w:textAlignment w:val="baseline"/>
        <w:rPr>
          <w:rFonts w:hint="eastAsia" w:ascii="仿宋" w:hAnsi="仿宋" w:eastAsia="仿宋" w:cs="仿宋"/>
          <w:spacing w:val="3"/>
          <w:sz w:val="24"/>
          <w:szCs w:val="24"/>
        </w:rPr>
      </w:pPr>
      <w:r>
        <w:rPr>
          <w:rFonts w:hint="eastAsia" w:ascii="仿宋" w:hAnsi="仿宋" w:eastAsia="仿宋" w:cs="仿宋"/>
          <w:spacing w:val="3"/>
          <w:sz w:val="24"/>
          <w:szCs w:val="24"/>
        </w:rPr>
        <w:t>(五)不准接受或暗示为甲方和其它相关单位及其工作人员装修房屋、婚丧嫁 娶、配偶子女的工作安排以及出国(境)、旅游观光活动提供方便。</w:t>
      </w:r>
    </w:p>
    <w:p w14:paraId="7FCC73B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2" w:firstLineChars="200"/>
        <w:textAlignment w:val="baseline"/>
        <w:rPr>
          <w:rFonts w:hint="eastAsia" w:ascii="仿宋" w:hAnsi="仿宋" w:eastAsia="仿宋" w:cs="仿宋"/>
          <w:spacing w:val="3"/>
          <w:sz w:val="24"/>
          <w:szCs w:val="24"/>
        </w:rPr>
      </w:pPr>
      <w:r>
        <w:rPr>
          <w:rFonts w:hint="eastAsia" w:ascii="仿宋" w:hAnsi="仿宋" w:eastAsia="仿宋" w:cs="仿宋"/>
          <w:spacing w:val="3"/>
          <w:sz w:val="24"/>
          <w:szCs w:val="24"/>
        </w:rPr>
        <w:t>(六)不准利用黄、赌、贿等各种手段拉拢腐蚀甲方工作人员。</w:t>
      </w:r>
    </w:p>
    <w:p w14:paraId="2BEEF47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2" w:firstLineChars="200"/>
        <w:textAlignment w:val="baseline"/>
        <w:rPr>
          <w:rFonts w:hint="eastAsia" w:ascii="仿宋" w:hAnsi="仿宋" w:eastAsia="仿宋" w:cs="仿宋"/>
          <w:spacing w:val="3"/>
          <w:sz w:val="24"/>
          <w:szCs w:val="24"/>
        </w:rPr>
      </w:pPr>
      <w:r>
        <w:rPr>
          <w:rFonts w:hint="eastAsia" w:ascii="仿宋" w:hAnsi="仿宋" w:eastAsia="仿宋" w:cs="仿宋"/>
          <w:spacing w:val="3"/>
          <w:sz w:val="24"/>
          <w:szCs w:val="24"/>
        </w:rPr>
        <w:t>(七)其它有关违反廉政规定的行为。</w:t>
      </w:r>
    </w:p>
    <w:p w14:paraId="4323267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2" w:firstLineChars="200"/>
        <w:textAlignment w:val="baseline"/>
        <w:rPr>
          <w:rFonts w:hint="eastAsia" w:ascii="仿宋" w:hAnsi="仿宋" w:eastAsia="仿宋" w:cs="仿宋"/>
          <w:spacing w:val="3"/>
          <w:sz w:val="24"/>
          <w:szCs w:val="24"/>
        </w:rPr>
      </w:pPr>
      <w:r>
        <w:rPr>
          <w:rFonts w:hint="eastAsia" w:ascii="仿宋" w:hAnsi="仿宋" w:eastAsia="仿宋" w:cs="仿宋"/>
          <w:spacing w:val="3"/>
          <w:sz w:val="24"/>
          <w:szCs w:val="24"/>
        </w:rPr>
        <w:t>第四条：责任追究</w:t>
      </w:r>
    </w:p>
    <w:p w14:paraId="36E0543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2" w:firstLineChars="200"/>
        <w:textAlignment w:val="baseline"/>
        <w:rPr>
          <w:rFonts w:hint="eastAsia" w:ascii="仿宋" w:hAnsi="仿宋" w:eastAsia="仿宋" w:cs="仿宋"/>
          <w:spacing w:val="3"/>
          <w:sz w:val="24"/>
          <w:szCs w:val="24"/>
        </w:rPr>
      </w:pPr>
      <w:r>
        <w:rPr>
          <w:rFonts w:hint="eastAsia" w:ascii="仿宋" w:hAnsi="仿宋" w:eastAsia="仿宋" w:cs="仿宋"/>
          <w:spacing w:val="3"/>
          <w:sz w:val="24"/>
          <w:szCs w:val="24"/>
        </w:rPr>
        <w:t>(一)甲方若违反本承诺规定，按照干部管理权限，依据《中国共产党党内纪律处分条例》、《中华人民共和国公务员法》,属于一般错误的，对其施工警示训诫；违纪违规的，给予党纪、政纪处分；涉嫌犯罪的，移交司法机关追究刑事责任。</w:t>
      </w:r>
    </w:p>
    <w:p w14:paraId="6432D6E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2" w:firstLineChars="200"/>
        <w:textAlignment w:val="baseline"/>
        <w:rPr>
          <w:rFonts w:hint="eastAsia" w:ascii="仿宋" w:hAnsi="仿宋" w:eastAsia="仿宋" w:cs="仿宋"/>
          <w:spacing w:val="3"/>
          <w:sz w:val="24"/>
          <w:szCs w:val="24"/>
        </w:rPr>
      </w:pPr>
      <w:r>
        <w:rPr>
          <w:rFonts w:hint="eastAsia" w:ascii="仿宋" w:hAnsi="仿宋" w:eastAsia="仿宋" w:cs="仿宋"/>
          <w:spacing w:val="3"/>
          <w:sz w:val="24"/>
          <w:szCs w:val="24"/>
        </w:rPr>
        <w:t>(二)乙方若违反本承诺规定，甲方有权要求乙方对责任人进行处理。情节严重的，限制乙方不得进入遗址保护区建设市场；在新闻媒体曝光并报乙方上级或行甲方管部门。</w:t>
      </w:r>
    </w:p>
    <w:p w14:paraId="48129D9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2" w:firstLineChars="200"/>
        <w:textAlignment w:val="baseline"/>
        <w:rPr>
          <w:rFonts w:hint="eastAsia" w:ascii="仿宋" w:hAnsi="仿宋" w:eastAsia="仿宋" w:cs="仿宋"/>
          <w:spacing w:val="3"/>
          <w:sz w:val="24"/>
          <w:szCs w:val="24"/>
        </w:rPr>
      </w:pPr>
      <w:r>
        <w:rPr>
          <w:rFonts w:hint="eastAsia" w:ascii="仿宋" w:hAnsi="仿宋" w:eastAsia="仿宋" w:cs="仿宋"/>
          <w:spacing w:val="3"/>
          <w:sz w:val="24"/>
          <w:szCs w:val="24"/>
        </w:rPr>
        <w:t>第五条：本承诺书由双方单位或上级主管单位的纪检、监察部门负责监督执行。</w:t>
      </w:r>
    </w:p>
    <w:p w14:paraId="6172A81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2" w:firstLineChars="200"/>
        <w:textAlignment w:val="baseline"/>
        <w:rPr>
          <w:rFonts w:hint="eastAsia" w:ascii="仿宋" w:hAnsi="仿宋" w:eastAsia="仿宋" w:cs="仿宋"/>
          <w:spacing w:val="3"/>
          <w:sz w:val="24"/>
          <w:szCs w:val="24"/>
        </w:rPr>
      </w:pPr>
      <w:r>
        <w:rPr>
          <w:rFonts w:hint="eastAsia" w:ascii="仿宋" w:hAnsi="仿宋" w:eastAsia="仿宋" w:cs="仿宋"/>
          <w:spacing w:val="3"/>
          <w:sz w:val="24"/>
          <w:szCs w:val="24"/>
        </w:rPr>
        <w:t>第六条：本合同作为工程施工合同的组成部分，双方签字盖章后即生效，有效期为双方签署之日起至该工程项目竣工验收合格并办理完毕工程结算时止。</w:t>
      </w:r>
    </w:p>
    <w:p w14:paraId="3FD5319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2" w:firstLineChars="200"/>
        <w:textAlignment w:val="baseline"/>
        <w:rPr>
          <w:rFonts w:hint="eastAsia" w:ascii="仿宋" w:hAnsi="仿宋" w:eastAsia="仿宋" w:cs="仿宋"/>
          <w:spacing w:val="3"/>
          <w:sz w:val="24"/>
          <w:szCs w:val="24"/>
        </w:rPr>
      </w:pPr>
      <w:r>
        <w:rPr>
          <w:rFonts w:hint="eastAsia" w:ascii="仿宋" w:hAnsi="仿宋" w:eastAsia="仿宋" w:cs="仿宋"/>
          <w:spacing w:val="3"/>
          <w:sz w:val="24"/>
          <w:szCs w:val="24"/>
        </w:rPr>
        <w:t>第七条：本合同</w:t>
      </w:r>
      <w:r>
        <w:rPr>
          <w:rFonts w:hint="eastAsia" w:ascii="仿宋" w:hAnsi="仿宋" w:eastAsia="仿宋" w:cs="仿宋"/>
          <w:spacing w:val="3"/>
          <w:sz w:val="24"/>
          <w:szCs w:val="24"/>
          <w:lang w:eastAsia="zh-CN"/>
        </w:rPr>
        <w:t>一式</w:t>
      </w:r>
      <w:r>
        <w:rPr>
          <w:rFonts w:hint="eastAsia" w:ascii="仿宋" w:hAnsi="仿宋" w:eastAsia="仿宋" w:cs="仿宋"/>
          <w:spacing w:val="3"/>
          <w:sz w:val="24"/>
          <w:szCs w:val="24"/>
          <w:u w:val="single"/>
        </w:rPr>
        <w:t xml:space="preserve"> 捌 </w:t>
      </w:r>
      <w:r>
        <w:rPr>
          <w:rFonts w:hint="eastAsia" w:ascii="仿宋" w:hAnsi="仿宋" w:eastAsia="仿宋" w:cs="仿宋"/>
          <w:spacing w:val="3"/>
          <w:sz w:val="24"/>
          <w:szCs w:val="24"/>
        </w:rPr>
        <w:t>份，甲方执</w:t>
      </w:r>
      <w:r>
        <w:rPr>
          <w:rFonts w:hint="eastAsia" w:ascii="仿宋" w:hAnsi="仿宋" w:eastAsia="仿宋" w:cs="仿宋"/>
          <w:spacing w:val="3"/>
          <w:sz w:val="24"/>
          <w:szCs w:val="24"/>
          <w:u w:val="single"/>
        </w:rPr>
        <w:t xml:space="preserve"> </w:t>
      </w:r>
      <w:r>
        <w:rPr>
          <w:rFonts w:hint="eastAsia" w:ascii="仿宋" w:hAnsi="仿宋" w:eastAsia="仿宋" w:cs="仿宋"/>
          <w:spacing w:val="3"/>
          <w:sz w:val="24"/>
          <w:szCs w:val="24"/>
          <w:u w:val="single"/>
          <w:lang w:eastAsia="zh-CN"/>
        </w:rPr>
        <w:t>肆</w:t>
      </w:r>
      <w:r>
        <w:rPr>
          <w:rFonts w:hint="eastAsia" w:ascii="仿宋" w:hAnsi="仿宋" w:eastAsia="仿宋" w:cs="仿宋"/>
          <w:spacing w:val="3"/>
          <w:sz w:val="24"/>
          <w:szCs w:val="24"/>
          <w:u w:val="single"/>
        </w:rPr>
        <w:t xml:space="preserve"> </w:t>
      </w:r>
      <w:r>
        <w:rPr>
          <w:rFonts w:hint="eastAsia" w:ascii="仿宋" w:hAnsi="仿宋" w:eastAsia="仿宋" w:cs="仿宋"/>
          <w:spacing w:val="3"/>
          <w:sz w:val="24"/>
          <w:szCs w:val="24"/>
        </w:rPr>
        <w:t>份，乙方执</w:t>
      </w:r>
      <w:r>
        <w:rPr>
          <w:rFonts w:hint="eastAsia" w:ascii="仿宋" w:hAnsi="仿宋" w:eastAsia="仿宋" w:cs="仿宋"/>
          <w:spacing w:val="3"/>
          <w:sz w:val="24"/>
          <w:szCs w:val="24"/>
          <w:u w:val="single"/>
        </w:rPr>
        <w:t xml:space="preserve"> </w:t>
      </w:r>
      <w:r>
        <w:rPr>
          <w:rFonts w:hint="eastAsia" w:ascii="仿宋" w:hAnsi="仿宋" w:eastAsia="仿宋" w:cs="仿宋"/>
          <w:spacing w:val="3"/>
          <w:sz w:val="24"/>
          <w:szCs w:val="24"/>
          <w:u w:val="single"/>
          <w:lang w:eastAsia="zh-CN"/>
        </w:rPr>
        <w:t>肆</w:t>
      </w:r>
      <w:r>
        <w:rPr>
          <w:rFonts w:hint="eastAsia" w:ascii="仿宋" w:hAnsi="仿宋" w:eastAsia="仿宋" w:cs="仿宋"/>
          <w:spacing w:val="3"/>
          <w:sz w:val="24"/>
          <w:szCs w:val="24"/>
          <w:u w:val="single"/>
          <w:lang w:val="en-US" w:eastAsia="zh-CN"/>
        </w:rPr>
        <w:t xml:space="preserve"> </w:t>
      </w:r>
      <w:r>
        <w:rPr>
          <w:rFonts w:hint="eastAsia" w:ascii="仿宋" w:hAnsi="仿宋" w:eastAsia="仿宋" w:cs="仿宋"/>
          <w:spacing w:val="3"/>
          <w:sz w:val="24"/>
          <w:szCs w:val="24"/>
        </w:rPr>
        <w:t>份 。</w:t>
      </w:r>
    </w:p>
    <w:p w14:paraId="3A4C6F35">
      <w:pPr>
        <w:rPr>
          <w:rFonts w:hint="eastAsia" w:ascii="仿宋" w:hAnsi="仿宋" w:eastAsia="仿宋" w:cs="仿宋"/>
          <w:spacing w:val="3"/>
          <w:sz w:val="24"/>
          <w:szCs w:val="24"/>
        </w:rPr>
      </w:pPr>
    </w:p>
    <w:p w14:paraId="2A21E793">
      <w:pPr>
        <w:rPr>
          <w:rFonts w:hint="eastAsia" w:ascii="仿宋" w:hAnsi="仿宋" w:eastAsia="仿宋" w:cs="仿宋"/>
          <w:spacing w:val="3"/>
          <w:sz w:val="24"/>
          <w:szCs w:val="24"/>
        </w:rPr>
      </w:pPr>
    </w:p>
    <w:p w14:paraId="47A9360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0" w:firstLineChars="200"/>
        <w:textAlignment w:val="baseline"/>
        <w:rPr>
          <w:rFonts w:hint="eastAsia" w:ascii="仿宋" w:hAnsi="仿宋" w:eastAsia="仿宋" w:cs="仿宋"/>
          <w:b w:val="0"/>
          <w:bCs w:val="0"/>
          <w:sz w:val="24"/>
          <w:szCs w:val="24"/>
        </w:rPr>
      </w:pPr>
      <w:r>
        <w:rPr>
          <w:rFonts w:hint="eastAsia" w:ascii="仿宋" w:hAnsi="仿宋" w:eastAsia="仿宋" w:cs="仿宋"/>
          <w:b w:val="0"/>
          <w:bCs w:val="0"/>
          <w:spacing w:val="-15"/>
          <w:sz w:val="24"/>
          <w:szCs w:val="24"/>
        </w:rPr>
        <w:t>甲方：</w:t>
      </w:r>
      <w:r>
        <w:rPr>
          <w:rFonts w:hint="eastAsia" w:ascii="仿宋" w:hAnsi="仿宋" w:eastAsia="仿宋" w:cs="仿宋"/>
          <w:b w:val="0"/>
          <w:bCs w:val="0"/>
          <w:spacing w:val="3"/>
          <w:sz w:val="24"/>
          <w:szCs w:val="24"/>
        </w:rPr>
        <w:t xml:space="preserve">                             </w:t>
      </w:r>
      <w:r>
        <w:rPr>
          <w:rFonts w:hint="eastAsia" w:ascii="仿宋" w:hAnsi="仿宋" w:eastAsia="仿宋" w:cs="仿宋"/>
          <w:b w:val="0"/>
          <w:bCs w:val="0"/>
          <w:spacing w:val="3"/>
          <w:sz w:val="24"/>
          <w:szCs w:val="24"/>
          <w:lang w:val="en-US" w:eastAsia="zh-CN"/>
        </w:rPr>
        <w:t xml:space="preserve">  </w:t>
      </w:r>
      <w:r>
        <w:rPr>
          <w:rFonts w:hint="eastAsia" w:ascii="仿宋" w:hAnsi="仿宋" w:eastAsia="仿宋" w:cs="仿宋"/>
          <w:b w:val="0"/>
          <w:bCs w:val="0"/>
          <w:i w:val="0"/>
          <w:iCs w:val="0"/>
          <w:spacing w:val="-15"/>
          <w:sz w:val="24"/>
          <w:szCs w:val="24"/>
        </w:rPr>
        <w:t>乙方：</w:t>
      </w:r>
    </w:p>
    <w:p w14:paraId="5B965068">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b w:val="0"/>
          <w:bCs w:val="0"/>
          <w:sz w:val="24"/>
          <w:szCs w:val="24"/>
        </w:rPr>
      </w:pPr>
    </w:p>
    <w:p w14:paraId="3EA40E5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20" w:firstLineChars="200"/>
        <w:textAlignment w:val="baseline"/>
        <w:rPr>
          <w:rFonts w:hint="eastAsia" w:ascii="仿宋" w:hAnsi="仿宋" w:eastAsia="仿宋" w:cs="仿宋"/>
          <w:b w:val="0"/>
          <w:bCs w:val="0"/>
          <w:sz w:val="24"/>
          <w:szCs w:val="24"/>
        </w:rPr>
      </w:pPr>
      <w:r>
        <w:rPr>
          <w:rFonts w:hint="eastAsia" w:ascii="仿宋" w:hAnsi="仿宋" w:eastAsia="仿宋" w:cs="仿宋"/>
          <w:b w:val="0"/>
          <w:bCs w:val="0"/>
          <w:spacing w:val="10"/>
          <w:position w:val="-1"/>
          <w:sz w:val="24"/>
          <w:szCs w:val="24"/>
        </w:rPr>
        <w:t>法定代表人(委托代理人):</w:t>
      </w:r>
      <w:r>
        <w:rPr>
          <w:rFonts w:hint="eastAsia" w:ascii="仿宋" w:hAnsi="仿宋" w:eastAsia="仿宋" w:cs="仿宋"/>
          <w:b w:val="0"/>
          <w:bCs w:val="0"/>
          <w:spacing w:val="3"/>
          <w:position w:val="-1"/>
          <w:sz w:val="24"/>
          <w:szCs w:val="24"/>
        </w:rPr>
        <w:t xml:space="preserve">           </w:t>
      </w:r>
      <w:r>
        <w:rPr>
          <w:rFonts w:hint="eastAsia" w:ascii="仿宋" w:hAnsi="仿宋" w:eastAsia="仿宋" w:cs="仿宋"/>
          <w:b w:val="0"/>
          <w:bCs w:val="0"/>
          <w:spacing w:val="3"/>
          <w:position w:val="-1"/>
          <w:sz w:val="24"/>
          <w:szCs w:val="24"/>
          <w:lang w:val="en-US" w:eastAsia="zh-CN"/>
        </w:rPr>
        <w:t xml:space="preserve"> </w:t>
      </w:r>
      <w:r>
        <w:rPr>
          <w:rFonts w:hint="eastAsia" w:ascii="仿宋" w:hAnsi="仿宋" w:eastAsia="仿宋" w:cs="仿宋"/>
          <w:b w:val="0"/>
          <w:bCs w:val="0"/>
          <w:spacing w:val="10"/>
          <w:position w:val="1"/>
          <w:sz w:val="24"/>
          <w:szCs w:val="24"/>
        </w:rPr>
        <w:t>法定代表人(委托代理人</w:t>
      </w:r>
      <w:r>
        <w:rPr>
          <w:rFonts w:hint="eastAsia" w:ascii="仿宋" w:hAnsi="仿宋" w:eastAsia="仿宋" w:cs="仿宋"/>
          <w:b w:val="0"/>
          <w:bCs w:val="0"/>
          <w:spacing w:val="9"/>
          <w:position w:val="1"/>
          <w:sz w:val="24"/>
          <w:szCs w:val="24"/>
        </w:rPr>
        <w:t>):</w:t>
      </w:r>
    </w:p>
    <w:p w14:paraId="3FB0F1F7">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b w:val="0"/>
          <w:bCs w:val="0"/>
          <w:sz w:val="24"/>
          <w:szCs w:val="24"/>
        </w:rPr>
      </w:pPr>
    </w:p>
    <w:p w14:paraId="61F7037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textAlignment w:val="baseline"/>
        <w:rPr>
          <w:rFonts w:hint="eastAsia" w:ascii="仿宋" w:hAnsi="仿宋" w:eastAsia="仿宋" w:cs="仿宋"/>
          <w:b w:val="0"/>
          <w:bCs w:val="0"/>
          <w:sz w:val="24"/>
          <w:szCs w:val="24"/>
        </w:rPr>
      </w:pPr>
      <w:r>
        <w:rPr>
          <w:rFonts w:hint="eastAsia" w:ascii="仿宋" w:hAnsi="仿宋" w:eastAsia="仿宋" w:cs="仿宋"/>
          <w:b w:val="0"/>
          <w:bCs w:val="0"/>
          <w:spacing w:val="-2"/>
          <w:sz w:val="24"/>
          <w:szCs w:val="24"/>
        </w:rPr>
        <w:t>监督电话：</w:t>
      </w:r>
      <w:r>
        <w:rPr>
          <w:rFonts w:hint="eastAsia" w:ascii="仿宋" w:hAnsi="仿宋" w:eastAsia="仿宋" w:cs="仿宋"/>
          <w:b w:val="0"/>
          <w:bCs w:val="0"/>
          <w:spacing w:val="3"/>
          <w:sz w:val="24"/>
          <w:szCs w:val="24"/>
        </w:rPr>
        <w:t xml:space="preserve">                         </w:t>
      </w:r>
      <w:r>
        <w:rPr>
          <w:rFonts w:hint="eastAsia" w:ascii="仿宋" w:hAnsi="仿宋" w:eastAsia="仿宋" w:cs="仿宋"/>
          <w:b w:val="0"/>
          <w:bCs w:val="0"/>
          <w:spacing w:val="3"/>
          <w:sz w:val="24"/>
          <w:szCs w:val="24"/>
          <w:lang w:val="en-US" w:eastAsia="zh-CN"/>
        </w:rPr>
        <w:t xml:space="preserve">  </w:t>
      </w:r>
      <w:r>
        <w:rPr>
          <w:rFonts w:hint="eastAsia" w:ascii="仿宋" w:hAnsi="仿宋" w:eastAsia="仿宋" w:cs="仿宋"/>
          <w:b w:val="0"/>
          <w:bCs w:val="0"/>
          <w:spacing w:val="-2"/>
          <w:sz w:val="24"/>
          <w:szCs w:val="24"/>
        </w:rPr>
        <w:t>监督电话：</w:t>
      </w:r>
    </w:p>
    <w:p w14:paraId="79FD47C6">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b w:val="0"/>
          <w:bCs w:val="0"/>
          <w:sz w:val="24"/>
          <w:szCs w:val="24"/>
        </w:rPr>
      </w:pPr>
    </w:p>
    <w:p w14:paraId="61197D2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4" w:firstLineChars="200"/>
        <w:textAlignment w:val="baseline"/>
        <w:rPr>
          <w:rFonts w:hint="eastAsia" w:ascii="仿宋" w:hAnsi="仿宋" w:eastAsia="仿宋" w:cs="仿宋"/>
          <w:sz w:val="24"/>
          <w:szCs w:val="24"/>
        </w:rPr>
      </w:pPr>
      <w:r>
        <w:rPr>
          <w:rFonts w:hint="eastAsia" w:ascii="仿宋" w:hAnsi="仿宋" w:eastAsia="仿宋" w:cs="仿宋"/>
          <w:b w:val="0"/>
          <w:bCs w:val="0"/>
          <w:spacing w:val="6"/>
          <w:sz w:val="24"/>
          <w:szCs w:val="24"/>
        </w:rPr>
        <w:t>202</w:t>
      </w:r>
      <w:r>
        <w:rPr>
          <w:rFonts w:hint="eastAsia" w:ascii="仿宋" w:hAnsi="仿宋" w:eastAsia="仿宋" w:cs="仿宋"/>
          <w:b w:val="0"/>
          <w:bCs w:val="0"/>
          <w:spacing w:val="6"/>
          <w:sz w:val="24"/>
          <w:szCs w:val="24"/>
          <w:lang w:val="en-US" w:eastAsia="zh-CN"/>
        </w:rPr>
        <w:t>5</w:t>
      </w:r>
      <w:r>
        <w:rPr>
          <w:rFonts w:hint="eastAsia" w:ascii="仿宋" w:hAnsi="仿宋" w:eastAsia="仿宋" w:cs="仿宋"/>
          <w:b w:val="0"/>
          <w:bCs w:val="0"/>
          <w:spacing w:val="6"/>
          <w:sz w:val="24"/>
          <w:szCs w:val="24"/>
        </w:rPr>
        <w:t>年</w:t>
      </w:r>
      <w:r>
        <w:rPr>
          <w:rFonts w:hint="eastAsia" w:ascii="仿宋" w:hAnsi="仿宋" w:eastAsia="仿宋" w:cs="仿宋"/>
          <w:b w:val="0"/>
          <w:bCs w:val="0"/>
          <w:spacing w:val="7"/>
          <w:sz w:val="24"/>
          <w:szCs w:val="24"/>
        </w:rPr>
        <w:t xml:space="preserve">   </w:t>
      </w:r>
      <w:r>
        <w:rPr>
          <w:rFonts w:hint="eastAsia" w:ascii="仿宋" w:hAnsi="仿宋" w:eastAsia="仿宋" w:cs="仿宋"/>
          <w:b w:val="0"/>
          <w:bCs w:val="0"/>
          <w:spacing w:val="6"/>
          <w:sz w:val="24"/>
          <w:szCs w:val="24"/>
        </w:rPr>
        <w:t>月</w:t>
      </w:r>
      <w:r>
        <w:rPr>
          <w:rFonts w:hint="eastAsia" w:ascii="仿宋" w:hAnsi="仿宋" w:eastAsia="仿宋" w:cs="仿宋"/>
          <w:b w:val="0"/>
          <w:bCs w:val="0"/>
          <w:spacing w:val="22"/>
          <w:sz w:val="24"/>
          <w:szCs w:val="24"/>
        </w:rPr>
        <w:t xml:space="preserve">  </w:t>
      </w:r>
      <w:r>
        <w:rPr>
          <w:rFonts w:hint="eastAsia" w:ascii="仿宋" w:hAnsi="仿宋" w:eastAsia="仿宋" w:cs="仿宋"/>
          <w:b w:val="0"/>
          <w:bCs w:val="0"/>
          <w:spacing w:val="6"/>
          <w:sz w:val="24"/>
          <w:szCs w:val="24"/>
        </w:rPr>
        <w:t>日</w:t>
      </w:r>
      <w:r>
        <w:rPr>
          <w:rFonts w:hint="eastAsia" w:ascii="仿宋" w:hAnsi="仿宋" w:eastAsia="仿宋" w:cs="仿宋"/>
          <w:b w:val="0"/>
          <w:bCs w:val="0"/>
          <w:spacing w:val="3"/>
          <w:sz w:val="24"/>
          <w:szCs w:val="24"/>
        </w:rPr>
        <w:t xml:space="preserve">                    </w:t>
      </w:r>
      <w:r>
        <w:rPr>
          <w:rFonts w:hint="eastAsia" w:ascii="仿宋" w:hAnsi="仿宋" w:eastAsia="仿宋" w:cs="仿宋"/>
          <w:b w:val="0"/>
          <w:bCs w:val="0"/>
          <w:spacing w:val="6"/>
          <w:sz w:val="24"/>
          <w:szCs w:val="24"/>
        </w:rPr>
        <w:t>202</w:t>
      </w:r>
      <w:r>
        <w:rPr>
          <w:rFonts w:hint="eastAsia" w:ascii="仿宋" w:hAnsi="仿宋" w:eastAsia="仿宋" w:cs="仿宋"/>
          <w:b w:val="0"/>
          <w:bCs w:val="0"/>
          <w:spacing w:val="6"/>
          <w:sz w:val="24"/>
          <w:szCs w:val="24"/>
          <w:lang w:val="en-US" w:eastAsia="zh-CN"/>
        </w:rPr>
        <w:t>5</w:t>
      </w:r>
      <w:r>
        <w:rPr>
          <w:rFonts w:hint="eastAsia" w:ascii="仿宋" w:hAnsi="仿宋" w:eastAsia="仿宋" w:cs="仿宋"/>
          <w:b w:val="0"/>
          <w:bCs w:val="0"/>
          <w:spacing w:val="6"/>
          <w:sz w:val="24"/>
          <w:szCs w:val="24"/>
        </w:rPr>
        <w:t>年</w:t>
      </w:r>
      <w:r>
        <w:rPr>
          <w:rFonts w:hint="eastAsia" w:ascii="仿宋" w:hAnsi="仿宋" w:eastAsia="仿宋" w:cs="仿宋"/>
          <w:b w:val="0"/>
          <w:bCs w:val="0"/>
          <w:spacing w:val="5"/>
          <w:sz w:val="24"/>
          <w:szCs w:val="24"/>
        </w:rPr>
        <w:t xml:space="preserve">   </w:t>
      </w:r>
      <w:r>
        <w:rPr>
          <w:rFonts w:hint="eastAsia" w:ascii="仿宋" w:hAnsi="仿宋" w:eastAsia="仿宋" w:cs="仿宋"/>
          <w:b w:val="0"/>
          <w:bCs w:val="0"/>
          <w:spacing w:val="6"/>
          <w:sz w:val="24"/>
          <w:szCs w:val="24"/>
        </w:rPr>
        <w:t>月</w:t>
      </w:r>
      <w:r>
        <w:rPr>
          <w:rFonts w:hint="eastAsia" w:ascii="仿宋" w:hAnsi="仿宋" w:eastAsia="仿宋" w:cs="仿宋"/>
          <w:b w:val="0"/>
          <w:bCs w:val="0"/>
          <w:spacing w:val="32"/>
          <w:sz w:val="24"/>
          <w:szCs w:val="24"/>
        </w:rPr>
        <w:t xml:space="preserve">  </w:t>
      </w:r>
      <w:r>
        <w:rPr>
          <w:rFonts w:hint="eastAsia" w:ascii="仿宋" w:hAnsi="仿宋" w:eastAsia="仿宋" w:cs="仿宋"/>
          <w:b w:val="0"/>
          <w:bCs w:val="0"/>
          <w:spacing w:val="6"/>
          <w:sz w:val="24"/>
          <w:szCs w:val="24"/>
        </w:rPr>
        <w:t>日</w:t>
      </w:r>
    </w:p>
    <w:p w14:paraId="50D4EC1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sz w:val="24"/>
          <w:szCs w:val="24"/>
        </w:rPr>
        <w:sectPr>
          <w:footerReference r:id="rId7" w:type="default"/>
          <w:pgSz w:w="11900" w:h="16830"/>
          <w:pgMar w:top="1338" w:right="1085" w:bottom="1287" w:left="1160" w:header="0" w:footer="19" w:gutter="0"/>
          <w:cols w:space="720" w:num="1"/>
        </w:sectPr>
      </w:pPr>
    </w:p>
    <w:p w14:paraId="78D49C5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2" w:firstLineChars="200"/>
        <w:textAlignment w:val="baseline"/>
        <w:rPr>
          <w:rFonts w:hint="eastAsia" w:ascii="仿宋" w:hAnsi="仿宋" w:eastAsia="仿宋" w:cs="仿宋"/>
          <w:spacing w:val="3"/>
          <w:sz w:val="24"/>
          <w:szCs w:val="24"/>
        </w:rPr>
      </w:pPr>
      <w:bookmarkStart w:id="0" w:name="bookmark10"/>
      <w:bookmarkEnd w:id="0"/>
      <w:r>
        <w:rPr>
          <w:rFonts w:hint="eastAsia" w:ascii="仿宋" w:hAnsi="仿宋" w:eastAsia="仿宋" w:cs="仿宋"/>
          <w:spacing w:val="3"/>
          <w:sz w:val="24"/>
          <w:szCs w:val="24"/>
        </w:rPr>
        <w:t>附件3:管理目标及标准</w:t>
      </w:r>
    </w:p>
    <w:p w14:paraId="6B1826E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sz w:val="24"/>
          <w:szCs w:val="24"/>
        </w:rPr>
        <w:sectPr>
          <w:footerReference r:id="rId8" w:type="default"/>
          <w:pgSz w:w="11900" w:h="16830"/>
          <w:pgMar w:top="1238" w:right="1785" w:bottom="154" w:left="1170" w:header="0" w:footer="19" w:gutter="0"/>
          <w:cols w:space="720" w:num="1"/>
        </w:sectPr>
      </w:pPr>
    </w:p>
    <w:p w14:paraId="7EE0E04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2" w:firstLineChars="200"/>
        <w:textAlignment w:val="baseline"/>
        <w:rPr>
          <w:rFonts w:hint="eastAsia" w:ascii="仿宋" w:hAnsi="仿宋" w:eastAsia="仿宋" w:cs="仿宋"/>
          <w:spacing w:val="3"/>
          <w:sz w:val="24"/>
          <w:szCs w:val="24"/>
        </w:rPr>
      </w:pPr>
      <w:r>
        <w:rPr>
          <w:rFonts w:hint="eastAsia" w:ascii="仿宋" w:hAnsi="仿宋" w:eastAsia="仿宋" w:cs="仿宋"/>
          <w:spacing w:val="3"/>
          <w:sz w:val="24"/>
          <w:szCs w:val="24"/>
        </w:rPr>
        <w:t>附件4:考核打分表</w:t>
      </w:r>
    </w:p>
    <w:tbl>
      <w:tblPr>
        <w:tblStyle w:val="12"/>
        <w:tblW w:w="925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64"/>
        <w:gridCol w:w="869"/>
        <w:gridCol w:w="5963"/>
        <w:gridCol w:w="712"/>
        <w:gridCol w:w="951"/>
      </w:tblGrid>
      <w:tr w14:paraId="0D5BE7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5" w:hRule="atLeast"/>
        </w:trPr>
        <w:tc>
          <w:tcPr>
            <w:tcW w:w="1633" w:type="dxa"/>
            <w:gridSpan w:val="2"/>
            <w:vAlign w:val="top"/>
          </w:tcPr>
          <w:p w14:paraId="0317136B">
            <w:pPr>
              <w:pStyle w:val="11"/>
              <w:spacing w:before="121" w:line="219" w:lineRule="auto"/>
              <w:ind w:left="308"/>
              <w:rPr>
                <w:sz w:val="21"/>
                <w:szCs w:val="21"/>
              </w:rPr>
            </w:pPr>
            <w:r>
              <w:rPr>
                <w:b/>
                <w:bCs/>
                <w:sz w:val="21"/>
                <w:szCs w:val="21"/>
              </w:rPr>
              <w:t>检查类别</w:t>
            </w:r>
          </w:p>
        </w:tc>
        <w:tc>
          <w:tcPr>
            <w:tcW w:w="5963" w:type="dxa"/>
            <w:vAlign w:val="top"/>
          </w:tcPr>
          <w:p w14:paraId="713DFAB0">
            <w:pPr>
              <w:pStyle w:val="11"/>
              <w:spacing w:before="121" w:line="219" w:lineRule="auto"/>
              <w:ind w:left="2315"/>
              <w:rPr>
                <w:sz w:val="21"/>
                <w:szCs w:val="21"/>
              </w:rPr>
            </w:pPr>
            <w:r>
              <w:rPr>
                <w:b/>
                <w:bCs/>
                <w:spacing w:val="-15"/>
                <w:sz w:val="21"/>
                <w:szCs w:val="21"/>
              </w:rPr>
              <w:t>检</w:t>
            </w:r>
            <w:r>
              <w:rPr>
                <w:spacing w:val="-15"/>
                <w:sz w:val="21"/>
                <w:szCs w:val="21"/>
              </w:rPr>
              <w:t xml:space="preserve"> </w:t>
            </w:r>
            <w:r>
              <w:rPr>
                <w:b/>
                <w:bCs/>
                <w:spacing w:val="-15"/>
                <w:sz w:val="21"/>
                <w:szCs w:val="21"/>
              </w:rPr>
              <w:t>查</w:t>
            </w:r>
            <w:r>
              <w:rPr>
                <w:spacing w:val="27"/>
                <w:sz w:val="21"/>
                <w:szCs w:val="21"/>
              </w:rPr>
              <w:t xml:space="preserve"> </w:t>
            </w:r>
            <w:r>
              <w:rPr>
                <w:b/>
                <w:bCs/>
                <w:spacing w:val="-15"/>
                <w:sz w:val="21"/>
                <w:szCs w:val="21"/>
              </w:rPr>
              <w:t>内</w:t>
            </w:r>
            <w:r>
              <w:rPr>
                <w:spacing w:val="-1"/>
                <w:sz w:val="21"/>
                <w:szCs w:val="21"/>
              </w:rPr>
              <w:t xml:space="preserve"> </w:t>
            </w:r>
            <w:r>
              <w:rPr>
                <w:b/>
                <w:bCs/>
                <w:spacing w:val="-15"/>
                <w:sz w:val="21"/>
                <w:szCs w:val="21"/>
              </w:rPr>
              <w:t>容</w:t>
            </w:r>
          </w:p>
        </w:tc>
        <w:tc>
          <w:tcPr>
            <w:tcW w:w="712" w:type="dxa"/>
            <w:vAlign w:val="top"/>
          </w:tcPr>
          <w:p w14:paraId="2711AA6A">
            <w:pPr>
              <w:pStyle w:val="11"/>
              <w:spacing w:before="121" w:line="219" w:lineRule="auto"/>
              <w:ind w:left="132"/>
              <w:rPr>
                <w:sz w:val="21"/>
                <w:szCs w:val="21"/>
              </w:rPr>
            </w:pPr>
            <w:r>
              <w:rPr>
                <w:b/>
                <w:bCs/>
                <w:spacing w:val="-6"/>
                <w:sz w:val="21"/>
                <w:szCs w:val="21"/>
              </w:rPr>
              <w:t>分值</w:t>
            </w:r>
          </w:p>
        </w:tc>
        <w:tc>
          <w:tcPr>
            <w:tcW w:w="951" w:type="dxa"/>
            <w:vAlign w:val="top"/>
          </w:tcPr>
          <w:p w14:paraId="3A9181D4">
            <w:pPr>
              <w:pStyle w:val="11"/>
              <w:spacing w:before="121" w:line="219" w:lineRule="auto"/>
              <w:ind w:left="203"/>
              <w:rPr>
                <w:sz w:val="21"/>
                <w:szCs w:val="21"/>
              </w:rPr>
            </w:pPr>
            <w:r>
              <w:rPr>
                <w:b/>
                <w:bCs/>
                <w:spacing w:val="-6"/>
                <w:sz w:val="21"/>
                <w:szCs w:val="21"/>
              </w:rPr>
              <w:t>得分</w:t>
            </w:r>
          </w:p>
        </w:tc>
      </w:tr>
      <w:tr w14:paraId="21A5BF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7" w:hRule="atLeast"/>
        </w:trPr>
        <w:tc>
          <w:tcPr>
            <w:tcW w:w="1633" w:type="dxa"/>
            <w:gridSpan w:val="2"/>
            <w:vMerge w:val="restart"/>
            <w:tcBorders>
              <w:bottom w:val="nil"/>
            </w:tcBorders>
            <w:vAlign w:val="top"/>
          </w:tcPr>
          <w:p w14:paraId="5EF59F13">
            <w:pPr>
              <w:spacing w:line="258" w:lineRule="auto"/>
              <w:rPr>
                <w:rFonts w:ascii="Arial"/>
                <w:sz w:val="21"/>
                <w:szCs w:val="21"/>
              </w:rPr>
            </w:pPr>
          </w:p>
          <w:p w14:paraId="4B9AA3E3">
            <w:pPr>
              <w:spacing w:line="258" w:lineRule="auto"/>
              <w:rPr>
                <w:rFonts w:ascii="Arial"/>
                <w:sz w:val="21"/>
                <w:szCs w:val="21"/>
              </w:rPr>
            </w:pPr>
          </w:p>
          <w:p w14:paraId="58F41C80">
            <w:pPr>
              <w:spacing w:line="258" w:lineRule="auto"/>
              <w:rPr>
                <w:rFonts w:ascii="Arial"/>
                <w:sz w:val="21"/>
                <w:szCs w:val="21"/>
              </w:rPr>
            </w:pPr>
          </w:p>
          <w:p w14:paraId="527620CD">
            <w:pPr>
              <w:spacing w:line="258" w:lineRule="auto"/>
              <w:rPr>
                <w:rFonts w:ascii="Arial"/>
                <w:sz w:val="21"/>
                <w:szCs w:val="21"/>
              </w:rPr>
            </w:pPr>
          </w:p>
          <w:p w14:paraId="01D735F3">
            <w:pPr>
              <w:spacing w:line="258" w:lineRule="auto"/>
              <w:rPr>
                <w:rFonts w:ascii="Arial"/>
                <w:sz w:val="21"/>
                <w:szCs w:val="21"/>
              </w:rPr>
            </w:pPr>
          </w:p>
          <w:p w14:paraId="3ED6F57D">
            <w:pPr>
              <w:spacing w:line="258" w:lineRule="auto"/>
              <w:rPr>
                <w:rFonts w:ascii="Arial"/>
                <w:sz w:val="21"/>
                <w:szCs w:val="21"/>
              </w:rPr>
            </w:pPr>
          </w:p>
          <w:p w14:paraId="48C9A28E">
            <w:pPr>
              <w:spacing w:line="258" w:lineRule="auto"/>
              <w:rPr>
                <w:rFonts w:ascii="Arial"/>
                <w:sz w:val="21"/>
                <w:szCs w:val="21"/>
              </w:rPr>
            </w:pPr>
          </w:p>
          <w:p w14:paraId="6ABA12A9">
            <w:pPr>
              <w:spacing w:line="258" w:lineRule="auto"/>
              <w:rPr>
                <w:rFonts w:ascii="Arial"/>
                <w:sz w:val="21"/>
                <w:szCs w:val="21"/>
              </w:rPr>
            </w:pPr>
          </w:p>
          <w:p w14:paraId="4CE1E214">
            <w:pPr>
              <w:spacing w:line="259" w:lineRule="auto"/>
              <w:rPr>
                <w:rFonts w:ascii="Arial"/>
                <w:sz w:val="21"/>
                <w:szCs w:val="21"/>
              </w:rPr>
            </w:pPr>
          </w:p>
          <w:p w14:paraId="24508FDC">
            <w:pPr>
              <w:spacing w:line="259" w:lineRule="auto"/>
              <w:rPr>
                <w:rFonts w:ascii="Arial"/>
                <w:sz w:val="21"/>
                <w:szCs w:val="21"/>
              </w:rPr>
            </w:pPr>
          </w:p>
          <w:p w14:paraId="31E4237B">
            <w:pPr>
              <w:spacing w:line="259" w:lineRule="auto"/>
              <w:rPr>
                <w:rFonts w:ascii="Arial"/>
                <w:sz w:val="21"/>
                <w:szCs w:val="21"/>
              </w:rPr>
            </w:pPr>
          </w:p>
          <w:p w14:paraId="3A3A10D9">
            <w:pPr>
              <w:pStyle w:val="11"/>
              <w:spacing w:before="81" w:line="219" w:lineRule="auto"/>
              <w:ind w:left="304"/>
              <w:rPr>
                <w:sz w:val="21"/>
                <w:szCs w:val="21"/>
              </w:rPr>
            </w:pPr>
            <w:r>
              <w:rPr>
                <w:spacing w:val="3"/>
                <w:sz w:val="21"/>
                <w:szCs w:val="21"/>
              </w:rPr>
              <w:t>管理制度</w:t>
            </w:r>
          </w:p>
        </w:tc>
        <w:tc>
          <w:tcPr>
            <w:tcW w:w="5963" w:type="dxa"/>
            <w:vAlign w:val="center"/>
          </w:tcPr>
          <w:p w14:paraId="7396ACC2">
            <w:pPr>
              <w:pStyle w:val="11"/>
              <w:spacing w:before="100" w:line="219" w:lineRule="auto"/>
              <w:jc w:val="center"/>
              <w:rPr>
                <w:sz w:val="21"/>
                <w:szCs w:val="21"/>
              </w:rPr>
            </w:pPr>
            <w:r>
              <w:rPr>
                <w:spacing w:val="1"/>
                <w:sz w:val="21"/>
                <w:szCs w:val="21"/>
              </w:rPr>
              <w:t>巡查管理制度、维护管理制度</w:t>
            </w:r>
          </w:p>
        </w:tc>
        <w:tc>
          <w:tcPr>
            <w:tcW w:w="712" w:type="dxa"/>
            <w:vAlign w:val="center"/>
          </w:tcPr>
          <w:p w14:paraId="61153664">
            <w:pPr>
              <w:pStyle w:val="11"/>
              <w:spacing w:before="125" w:line="225" w:lineRule="auto"/>
              <w:jc w:val="center"/>
              <w:rPr>
                <w:sz w:val="21"/>
                <w:szCs w:val="21"/>
              </w:rPr>
            </w:pPr>
            <w:r>
              <w:rPr>
                <w:color w:val="505040"/>
                <w:sz w:val="21"/>
                <w:szCs w:val="21"/>
              </w:rPr>
              <w:t>3</w:t>
            </w:r>
          </w:p>
        </w:tc>
        <w:tc>
          <w:tcPr>
            <w:tcW w:w="951" w:type="dxa"/>
            <w:vAlign w:val="center"/>
          </w:tcPr>
          <w:p w14:paraId="3CDA9CB3">
            <w:pPr>
              <w:jc w:val="center"/>
              <w:rPr>
                <w:rFonts w:ascii="Arial"/>
                <w:sz w:val="21"/>
                <w:szCs w:val="21"/>
              </w:rPr>
            </w:pPr>
          </w:p>
        </w:tc>
      </w:tr>
      <w:tr w14:paraId="73A2EF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7" w:hRule="atLeast"/>
        </w:trPr>
        <w:tc>
          <w:tcPr>
            <w:tcW w:w="1633" w:type="dxa"/>
            <w:gridSpan w:val="2"/>
            <w:vMerge w:val="continue"/>
            <w:tcBorders>
              <w:top w:val="nil"/>
              <w:bottom w:val="nil"/>
            </w:tcBorders>
            <w:vAlign w:val="top"/>
          </w:tcPr>
          <w:p w14:paraId="3A5F3F91">
            <w:pPr>
              <w:rPr>
                <w:rFonts w:ascii="Arial"/>
                <w:sz w:val="21"/>
                <w:szCs w:val="21"/>
              </w:rPr>
            </w:pPr>
          </w:p>
        </w:tc>
        <w:tc>
          <w:tcPr>
            <w:tcW w:w="5963" w:type="dxa"/>
            <w:vAlign w:val="center"/>
          </w:tcPr>
          <w:p w14:paraId="5FB55290">
            <w:pPr>
              <w:pStyle w:val="11"/>
              <w:spacing w:before="40" w:line="219" w:lineRule="auto"/>
              <w:jc w:val="center"/>
              <w:rPr>
                <w:sz w:val="21"/>
                <w:szCs w:val="21"/>
              </w:rPr>
            </w:pPr>
            <w:r>
              <w:rPr>
                <w:spacing w:val="-3"/>
                <w:sz w:val="21"/>
                <w:szCs w:val="21"/>
              </w:rPr>
              <w:t>安全生产及消防安全管理制度：主要包括安全生产领导组织机构、安全生产责任制、安全检查和隐患排查治理</w:t>
            </w:r>
            <w:r>
              <w:rPr>
                <w:sz w:val="21"/>
                <w:szCs w:val="21"/>
              </w:rPr>
              <w:t>制度、安全生产培训制度、生产安全事故管理制度</w:t>
            </w:r>
          </w:p>
        </w:tc>
        <w:tc>
          <w:tcPr>
            <w:tcW w:w="712" w:type="dxa"/>
            <w:vAlign w:val="center"/>
          </w:tcPr>
          <w:p w14:paraId="64996C36">
            <w:pPr>
              <w:pStyle w:val="11"/>
              <w:spacing w:before="81" w:line="241" w:lineRule="auto"/>
              <w:jc w:val="center"/>
              <w:rPr>
                <w:sz w:val="21"/>
                <w:szCs w:val="21"/>
              </w:rPr>
            </w:pPr>
            <w:r>
              <w:rPr>
                <w:color w:val="606060"/>
                <w:sz w:val="21"/>
                <w:szCs w:val="21"/>
              </w:rPr>
              <w:t>4</w:t>
            </w:r>
          </w:p>
        </w:tc>
        <w:tc>
          <w:tcPr>
            <w:tcW w:w="951" w:type="dxa"/>
            <w:vAlign w:val="center"/>
          </w:tcPr>
          <w:p w14:paraId="2B687CE9">
            <w:pPr>
              <w:jc w:val="center"/>
              <w:rPr>
                <w:rFonts w:ascii="Arial"/>
                <w:sz w:val="21"/>
                <w:szCs w:val="21"/>
              </w:rPr>
            </w:pPr>
          </w:p>
        </w:tc>
      </w:tr>
      <w:tr w14:paraId="01A1CF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7" w:hRule="atLeast"/>
        </w:trPr>
        <w:tc>
          <w:tcPr>
            <w:tcW w:w="1633" w:type="dxa"/>
            <w:gridSpan w:val="2"/>
            <w:vMerge w:val="continue"/>
            <w:tcBorders>
              <w:top w:val="nil"/>
              <w:bottom w:val="nil"/>
            </w:tcBorders>
            <w:vAlign w:val="top"/>
          </w:tcPr>
          <w:p w14:paraId="17EC1A62">
            <w:pPr>
              <w:rPr>
                <w:rFonts w:ascii="Arial"/>
                <w:sz w:val="21"/>
                <w:szCs w:val="21"/>
              </w:rPr>
            </w:pPr>
          </w:p>
        </w:tc>
        <w:tc>
          <w:tcPr>
            <w:tcW w:w="5963" w:type="dxa"/>
            <w:vAlign w:val="center"/>
          </w:tcPr>
          <w:p w14:paraId="126E4339">
            <w:pPr>
              <w:pStyle w:val="11"/>
              <w:spacing w:before="50" w:line="208" w:lineRule="auto"/>
              <w:jc w:val="center"/>
              <w:rPr>
                <w:sz w:val="21"/>
                <w:szCs w:val="21"/>
              </w:rPr>
            </w:pPr>
            <w:r>
              <w:rPr>
                <w:spacing w:val="-3"/>
                <w:sz w:val="21"/>
                <w:szCs w:val="21"/>
              </w:rPr>
              <w:t>安全生产、消防安全、应对异常天气、突发事件等应急</w:t>
            </w:r>
            <w:r>
              <w:rPr>
                <w:color w:val="405040"/>
                <w:spacing w:val="6"/>
                <w:sz w:val="21"/>
                <w:szCs w:val="21"/>
              </w:rPr>
              <w:t>预案</w:t>
            </w:r>
          </w:p>
        </w:tc>
        <w:tc>
          <w:tcPr>
            <w:tcW w:w="712" w:type="dxa"/>
            <w:vAlign w:val="center"/>
          </w:tcPr>
          <w:p w14:paraId="7959B749">
            <w:pPr>
              <w:pStyle w:val="11"/>
              <w:spacing w:before="215"/>
              <w:jc w:val="center"/>
              <w:rPr>
                <w:sz w:val="21"/>
                <w:szCs w:val="21"/>
              </w:rPr>
            </w:pPr>
            <w:r>
              <w:rPr>
                <w:color w:val="404040"/>
                <w:sz w:val="21"/>
                <w:szCs w:val="21"/>
              </w:rPr>
              <w:t>3</w:t>
            </w:r>
          </w:p>
        </w:tc>
        <w:tc>
          <w:tcPr>
            <w:tcW w:w="951" w:type="dxa"/>
            <w:vAlign w:val="center"/>
          </w:tcPr>
          <w:p w14:paraId="329210A5">
            <w:pPr>
              <w:jc w:val="center"/>
              <w:rPr>
                <w:rFonts w:ascii="Arial"/>
                <w:sz w:val="21"/>
                <w:szCs w:val="21"/>
              </w:rPr>
            </w:pPr>
          </w:p>
        </w:tc>
      </w:tr>
      <w:tr w14:paraId="5F67B7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7" w:hRule="atLeast"/>
        </w:trPr>
        <w:tc>
          <w:tcPr>
            <w:tcW w:w="1633" w:type="dxa"/>
            <w:gridSpan w:val="2"/>
            <w:vMerge w:val="continue"/>
            <w:tcBorders>
              <w:top w:val="nil"/>
              <w:bottom w:val="nil"/>
            </w:tcBorders>
            <w:vAlign w:val="top"/>
          </w:tcPr>
          <w:p w14:paraId="24DB920E">
            <w:pPr>
              <w:rPr>
                <w:rFonts w:ascii="Arial"/>
                <w:sz w:val="21"/>
                <w:szCs w:val="21"/>
              </w:rPr>
            </w:pPr>
          </w:p>
        </w:tc>
        <w:tc>
          <w:tcPr>
            <w:tcW w:w="5963" w:type="dxa"/>
            <w:vAlign w:val="center"/>
          </w:tcPr>
          <w:p w14:paraId="0928B7C6">
            <w:pPr>
              <w:pStyle w:val="11"/>
              <w:spacing w:before="112" w:line="219" w:lineRule="auto"/>
              <w:jc w:val="center"/>
              <w:rPr>
                <w:sz w:val="21"/>
                <w:szCs w:val="21"/>
              </w:rPr>
            </w:pPr>
            <w:r>
              <w:rPr>
                <w:spacing w:val="1"/>
                <w:sz w:val="21"/>
                <w:szCs w:val="21"/>
              </w:rPr>
              <w:t>巡查维护年度工作计划或工作要点</w:t>
            </w:r>
          </w:p>
        </w:tc>
        <w:tc>
          <w:tcPr>
            <w:tcW w:w="712" w:type="dxa"/>
            <w:vAlign w:val="center"/>
          </w:tcPr>
          <w:p w14:paraId="0C7CBB7D">
            <w:pPr>
              <w:pStyle w:val="11"/>
              <w:spacing w:before="137" w:line="231" w:lineRule="auto"/>
              <w:jc w:val="center"/>
              <w:rPr>
                <w:sz w:val="21"/>
                <w:szCs w:val="21"/>
              </w:rPr>
            </w:pPr>
            <w:r>
              <w:rPr>
                <w:color w:val="404040"/>
                <w:sz w:val="21"/>
                <w:szCs w:val="21"/>
              </w:rPr>
              <w:t>2</w:t>
            </w:r>
          </w:p>
        </w:tc>
        <w:tc>
          <w:tcPr>
            <w:tcW w:w="951" w:type="dxa"/>
            <w:vAlign w:val="center"/>
          </w:tcPr>
          <w:p w14:paraId="5E9BA043">
            <w:pPr>
              <w:jc w:val="center"/>
              <w:rPr>
                <w:rFonts w:ascii="Arial"/>
                <w:sz w:val="21"/>
                <w:szCs w:val="21"/>
              </w:rPr>
            </w:pPr>
          </w:p>
        </w:tc>
      </w:tr>
      <w:tr w14:paraId="3CF943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7" w:hRule="atLeast"/>
        </w:trPr>
        <w:tc>
          <w:tcPr>
            <w:tcW w:w="1633" w:type="dxa"/>
            <w:gridSpan w:val="2"/>
            <w:vMerge w:val="continue"/>
            <w:tcBorders>
              <w:top w:val="nil"/>
              <w:bottom w:val="nil"/>
            </w:tcBorders>
            <w:vAlign w:val="top"/>
          </w:tcPr>
          <w:p w14:paraId="58225575">
            <w:pPr>
              <w:rPr>
                <w:rFonts w:ascii="Arial"/>
                <w:sz w:val="21"/>
                <w:szCs w:val="21"/>
              </w:rPr>
            </w:pPr>
          </w:p>
        </w:tc>
        <w:tc>
          <w:tcPr>
            <w:tcW w:w="5963" w:type="dxa"/>
            <w:vAlign w:val="center"/>
          </w:tcPr>
          <w:p w14:paraId="716902FE">
            <w:pPr>
              <w:pStyle w:val="11"/>
              <w:spacing w:before="122" w:line="219" w:lineRule="auto"/>
              <w:jc w:val="center"/>
              <w:rPr>
                <w:sz w:val="21"/>
                <w:szCs w:val="21"/>
              </w:rPr>
            </w:pPr>
            <w:r>
              <w:rPr>
                <w:spacing w:val="1"/>
                <w:sz w:val="21"/>
                <w:szCs w:val="21"/>
              </w:rPr>
              <w:t>安全生产年度工作计划或工作要点</w:t>
            </w:r>
          </w:p>
        </w:tc>
        <w:tc>
          <w:tcPr>
            <w:tcW w:w="712" w:type="dxa"/>
            <w:vAlign w:val="center"/>
          </w:tcPr>
          <w:p w14:paraId="65CB8FF6">
            <w:pPr>
              <w:pStyle w:val="11"/>
              <w:spacing w:before="146" w:line="238" w:lineRule="auto"/>
              <w:jc w:val="center"/>
              <w:rPr>
                <w:sz w:val="21"/>
                <w:szCs w:val="21"/>
              </w:rPr>
            </w:pPr>
            <w:r>
              <w:rPr>
                <w:color w:val="404040"/>
                <w:sz w:val="21"/>
                <w:szCs w:val="21"/>
              </w:rPr>
              <w:t>2</w:t>
            </w:r>
          </w:p>
        </w:tc>
        <w:tc>
          <w:tcPr>
            <w:tcW w:w="951" w:type="dxa"/>
            <w:vAlign w:val="center"/>
          </w:tcPr>
          <w:p w14:paraId="26C27F91">
            <w:pPr>
              <w:jc w:val="center"/>
              <w:rPr>
                <w:rFonts w:ascii="Arial"/>
                <w:sz w:val="21"/>
                <w:szCs w:val="21"/>
              </w:rPr>
            </w:pPr>
          </w:p>
        </w:tc>
      </w:tr>
      <w:tr w14:paraId="00213C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7" w:hRule="atLeast"/>
        </w:trPr>
        <w:tc>
          <w:tcPr>
            <w:tcW w:w="1633" w:type="dxa"/>
            <w:gridSpan w:val="2"/>
            <w:vMerge w:val="continue"/>
            <w:tcBorders>
              <w:top w:val="nil"/>
              <w:bottom w:val="nil"/>
            </w:tcBorders>
            <w:vAlign w:val="top"/>
          </w:tcPr>
          <w:p w14:paraId="48E9FE38">
            <w:pPr>
              <w:rPr>
                <w:rFonts w:ascii="Arial"/>
                <w:sz w:val="21"/>
                <w:szCs w:val="21"/>
              </w:rPr>
            </w:pPr>
          </w:p>
        </w:tc>
        <w:tc>
          <w:tcPr>
            <w:tcW w:w="5963" w:type="dxa"/>
            <w:vAlign w:val="center"/>
          </w:tcPr>
          <w:p w14:paraId="649AA573">
            <w:pPr>
              <w:pStyle w:val="11"/>
              <w:spacing w:before="103" w:line="219" w:lineRule="auto"/>
              <w:jc w:val="center"/>
              <w:rPr>
                <w:sz w:val="21"/>
                <w:szCs w:val="21"/>
              </w:rPr>
            </w:pPr>
            <w:r>
              <w:rPr>
                <w:spacing w:val="4"/>
                <w:sz w:val="21"/>
                <w:szCs w:val="21"/>
              </w:rPr>
              <w:t>巡查记录台账(闭环检查)</w:t>
            </w:r>
          </w:p>
        </w:tc>
        <w:tc>
          <w:tcPr>
            <w:tcW w:w="712" w:type="dxa"/>
            <w:vAlign w:val="center"/>
          </w:tcPr>
          <w:p w14:paraId="3C315491">
            <w:pPr>
              <w:pStyle w:val="11"/>
              <w:spacing w:before="128" w:line="223" w:lineRule="auto"/>
              <w:jc w:val="center"/>
              <w:rPr>
                <w:sz w:val="21"/>
                <w:szCs w:val="21"/>
              </w:rPr>
            </w:pPr>
            <w:r>
              <w:rPr>
                <w:color w:val="505050"/>
                <w:sz w:val="21"/>
                <w:szCs w:val="21"/>
              </w:rPr>
              <w:t>3</w:t>
            </w:r>
          </w:p>
        </w:tc>
        <w:tc>
          <w:tcPr>
            <w:tcW w:w="951" w:type="dxa"/>
            <w:vAlign w:val="center"/>
          </w:tcPr>
          <w:p w14:paraId="03691EEC">
            <w:pPr>
              <w:jc w:val="center"/>
              <w:rPr>
                <w:rFonts w:ascii="Arial"/>
                <w:sz w:val="21"/>
                <w:szCs w:val="21"/>
              </w:rPr>
            </w:pPr>
          </w:p>
        </w:tc>
      </w:tr>
      <w:tr w14:paraId="2B7A54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7" w:hRule="atLeast"/>
        </w:trPr>
        <w:tc>
          <w:tcPr>
            <w:tcW w:w="1633" w:type="dxa"/>
            <w:gridSpan w:val="2"/>
            <w:vMerge w:val="continue"/>
            <w:tcBorders>
              <w:top w:val="nil"/>
              <w:bottom w:val="nil"/>
            </w:tcBorders>
            <w:vAlign w:val="top"/>
          </w:tcPr>
          <w:p w14:paraId="413A9CC3">
            <w:pPr>
              <w:rPr>
                <w:rFonts w:ascii="Arial"/>
                <w:sz w:val="21"/>
                <w:szCs w:val="21"/>
              </w:rPr>
            </w:pPr>
          </w:p>
        </w:tc>
        <w:tc>
          <w:tcPr>
            <w:tcW w:w="5963" w:type="dxa"/>
            <w:vAlign w:val="center"/>
          </w:tcPr>
          <w:p w14:paraId="453B5E48">
            <w:pPr>
              <w:pStyle w:val="11"/>
              <w:spacing w:before="113" w:line="219" w:lineRule="auto"/>
              <w:jc w:val="center"/>
              <w:rPr>
                <w:sz w:val="21"/>
                <w:szCs w:val="21"/>
              </w:rPr>
            </w:pPr>
            <w:r>
              <w:rPr>
                <w:spacing w:val="1"/>
                <w:sz w:val="21"/>
                <w:szCs w:val="21"/>
              </w:rPr>
              <w:t>维护维修工作台账</w:t>
            </w:r>
          </w:p>
        </w:tc>
        <w:tc>
          <w:tcPr>
            <w:tcW w:w="712" w:type="dxa"/>
            <w:vAlign w:val="center"/>
          </w:tcPr>
          <w:p w14:paraId="75BA31A9">
            <w:pPr>
              <w:pStyle w:val="11"/>
              <w:spacing w:before="137" w:line="238" w:lineRule="auto"/>
              <w:jc w:val="center"/>
              <w:rPr>
                <w:sz w:val="21"/>
                <w:szCs w:val="21"/>
              </w:rPr>
            </w:pPr>
            <w:r>
              <w:rPr>
                <w:color w:val="404040"/>
                <w:sz w:val="21"/>
                <w:szCs w:val="21"/>
              </w:rPr>
              <w:t>2</w:t>
            </w:r>
          </w:p>
        </w:tc>
        <w:tc>
          <w:tcPr>
            <w:tcW w:w="951" w:type="dxa"/>
            <w:vAlign w:val="center"/>
          </w:tcPr>
          <w:p w14:paraId="12E422F1">
            <w:pPr>
              <w:jc w:val="center"/>
              <w:rPr>
                <w:rFonts w:ascii="Arial"/>
                <w:sz w:val="21"/>
                <w:szCs w:val="21"/>
              </w:rPr>
            </w:pPr>
          </w:p>
        </w:tc>
      </w:tr>
      <w:tr w14:paraId="3F30A7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7" w:hRule="atLeast"/>
        </w:trPr>
        <w:tc>
          <w:tcPr>
            <w:tcW w:w="1633" w:type="dxa"/>
            <w:gridSpan w:val="2"/>
            <w:vMerge w:val="continue"/>
            <w:tcBorders>
              <w:top w:val="nil"/>
              <w:bottom w:val="nil"/>
            </w:tcBorders>
            <w:vAlign w:val="top"/>
          </w:tcPr>
          <w:p w14:paraId="14BE2B08">
            <w:pPr>
              <w:rPr>
                <w:rFonts w:ascii="Arial"/>
                <w:sz w:val="21"/>
                <w:szCs w:val="21"/>
              </w:rPr>
            </w:pPr>
          </w:p>
        </w:tc>
        <w:tc>
          <w:tcPr>
            <w:tcW w:w="5963" w:type="dxa"/>
            <w:vAlign w:val="center"/>
          </w:tcPr>
          <w:p w14:paraId="74B4443C">
            <w:pPr>
              <w:pStyle w:val="11"/>
              <w:spacing w:before="43" w:line="219" w:lineRule="auto"/>
              <w:jc w:val="center"/>
              <w:rPr>
                <w:sz w:val="21"/>
                <w:szCs w:val="21"/>
              </w:rPr>
            </w:pPr>
            <w:r>
              <w:rPr>
                <w:spacing w:val="-3"/>
                <w:sz w:val="21"/>
                <w:szCs w:val="21"/>
              </w:rPr>
              <w:t>每月开展一次全覆盖安全检查，做好检查台账及整改复</w:t>
            </w:r>
            <w:r>
              <w:rPr>
                <w:color w:val="404040"/>
                <w:spacing w:val="3"/>
                <w:sz w:val="21"/>
                <w:szCs w:val="21"/>
              </w:rPr>
              <w:t>查记录</w:t>
            </w:r>
          </w:p>
        </w:tc>
        <w:tc>
          <w:tcPr>
            <w:tcW w:w="712" w:type="dxa"/>
            <w:vAlign w:val="center"/>
          </w:tcPr>
          <w:p w14:paraId="0BE98CEC">
            <w:pPr>
              <w:pStyle w:val="11"/>
              <w:spacing w:before="218" w:line="241" w:lineRule="auto"/>
              <w:jc w:val="center"/>
              <w:rPr>
                <w:sz w:val="21"/>
                <w:szCs w:val="21"/>
              </w:rPr>
            </w:pPr>
            <w:r>
              <w:rPr>
                <w:color w:val="505050"/>
                <w:sz w:val="21"/>
                <w:szCs w:val="21"/>
              </w:rPr>
              <w:t>4</w:t>
            </w:r>
          </w:p>
        </w:tc>
        <w:tc>
          <w:tcPr>
            <w:tcW w:w="951" w:type="dxa"/>
            <w:vAlign w:val="center"/>
          </w:tcPr>
          <w:p w14:paraId="468A978B">
            <w:pPr>
              <w:jc w:val="center"/>
              <w:rPr>
                <w:rFonts w:ascii="Arial"/>
                <w:sz w:val="21"/>
                <w:szCs w:val="21"/>
              </w:rPr>
            </w:pPr>
          </w:p>
        </w:tc>
      </w:tr>
      <w:tr w14:paraId="73B060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7" w:hRule="atLeast"/>
        </w:trPr>
        <w:tc>
          <w:tcPr>
            <w:tcW w:w="1633" w:type="dxa"/>
            <w:gridSpan w:val="2"/>
            <w:vMerge w:val="continue"/>
            <w:tcBorders>
              <w:top w:val="nil"/>
              <w:bottom w:val="nil"/>
            </w:tcBorders>
            <w:vAlign w:val="top"/>
          </w:tcPr>
          <w:p w14:paraId="508A9D8B">
            <w:pPr>
              <w:rPr>
                <w:rFonts w:ascii="Arial"/>
                <w:sz w:val="21"/>
                <w:szCs w:val="21"/>
              </w:rPr>
            </w:pPr>
          </w:p>
        </w:tc>
        <w:tc>
          <w:tcPr>
            <w:tcW w:w="5963" w:type="dxa"/>
            <w:vAlign w:val="center"/>
          </w:tcPr>
          <w:p w14:paraId="238737E1">
            <w:pPr>
              <w:pStyle w:val="11"/>
              <w:spacing w:before="115" w:line="221" w:lineRule="auto"/>
              <w:jc w:val="center"/>
              <w:rPr>
                <w:sz w:val="21"/>
                <w:szCs w:val="21"/>
              </w:rPr>
            </w:pPr>
            <w:r>
              <w:rPr>
                <w:spacing w:val="1"/>
                <w:sz w:val="21"/>
                <w:szCs w:val="21"/>
              </w:rPr>
              <w:t>班前安全交底记录</w:t>
            </w:r>
          </w:p>
        </w:tc>
        <w:tc>
          <w:tcPr>
            <w:tcW w:w="712" w:type="dxa"/>
            <w:vAlign w:val="center"/>
          </w:tcPr>
          <w:p w14:paraId="416D3F2A">
            <w:pPr>
              <w:pStyle w:val="11"/>
              <w:spacing w:before="139" w:line="229" w:lineRule="auto"/>
              <w:jc w:val="center"/>
              <w:rPr>
                <w:sz w:val="21"/>
                <w:szCs w:val="21"/>
              </w:rPr>
            </w:pPr>
            <w:r>
              <w:rPr>
                <w:color w:val="404040"/>
                <w:sz w:val="21"/>
                <w:szCs w:val="21"/>
              </w:rPr>
              <w:t>2</w:t>
            </w:r>
          </w:p>
        </w:tc>
        <w:tc>
          <w:tcPr>
            <w:tcW w:w="951" w:type="dxa"/>
            <w:vAlign w:val="center"/>
          </w:tcPr>
          <w:p w14:paraId="6CFDB960">
            <w:pPr>
              <w:jc w:val="center"/>
              <w:rPr>
                <w:rFonts w:ascii="Arial"/>
                <w:sz w:val="21"/>
                <w:szCs w:val="21"/>
              </w:rPr>
            </w:pPr>
          </w:p>
        </w:tc>
      </w:tr>
      <w:tr w14:paraId="6A69C7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7" w:hRule="atLeast"/>
        </w:trPr>
        <w:tc>
          <w:tcPr>
            <w:tcW w:w="1633" w:type="dxa"/>
            <w:gridSpan w:val="2"/>
            <w:vMerge w:val="continue"/>
            <w:tcBorders>
              <w:top w:val="nil"/>
              <w:bottom w:val="nil"/>
            </w:tcBorders>
            <w:vAlign w:val="top"/>
          </w:tcPr>
          <w:p w14:paraId="47AA9E1C">
            <w:pPr>
              <w:rPr>
                <w:rFonts w:ascii="Arial"/>
                <w:sz w:val="21"/>
                <w:szCs w:val="21"/>
              </w:rPr>
            </w:pPr>
          </w:p>
        </w:tc>
        <w:tc>
          <w:tcPr>
            <w:tcW w:w="5963" w:type="dxa"/>
            <w:vAlign w:val="center"/>
          </w:tcPr>
          <w:p w14:paraId="5077428C">
            <w:pPr>
              <w:pStyle w:val="11"/>
              <w:spacing w:before="124" w:line="219" w:lineRule="auto"/>
              <w:jc w:val="center"/>
              <w:rPr>
                <w:sz w:val="21"/>
                <w:szCs w:val="21"/>
              </w:rPr>
            </w:pPr>
            <w:r>
              <w:rPr>
                <w:spacing w:val="1"/>
                <w:sz w:val="21"/>
                <w:szCs w:val="21"/>
              </w:rPr>
              <w:t>市民投诉舆情处置台账</w:t>
            </w:r>
          </w:p>
        </w:tc>
        <w:tc>
          <w:tcPr>
            <w:tcW w:w="712" w:type="dxa"/>
            <w:vAlign w:val="center"/>
          </w:tcPr>
          <w:p w14:paraId="5404B77C">
            <w:pPr>
              <w:pStyle w:val="11"/>
              <w:spacing w:before="84" w:line="175" w:lineRule="exact"/>
              <w:jc w:val="center"/>
              <w:rPr>
                <w:rFonts w:hint="eastAsia" w:eastAsia="仿宋"/>
                <w:sz w:val="21"/>
                <w:szCs w:val="21"/>
                <w:lang w:val="en-US" w:eastAsia="zh-CN"/>
              </w:rPr>
            </w:pPr>
            <w:r>
              <w:rPr>
                <w:rFonts w:hint="eastAsia"/>
                <w:sz w:val="21"/>
                <w:szCs w:val="21"/>
                <w:lang w:val="en-US" w:eastAsia="zh-CN"/>
              </w:rPr>
              <w:t>2</w:t>
            </w:r>
          </w:p>
        </w:tc>
        <w:tc>
          <w:tcPr>
            <w:tcW w:w="951" w:type="dxa"/>
            <w:vAlign w:val="center"/>
          </w:tcPr>
          <w:p w14:paraId="4B94C366">
            <w:pPr>
              <w:jc w:val="center"/>
              <w:rPr>
                <w:rFonts w:ascii="Arial"/>
                <w:sz w:val="21"/>
                <w:szCs w:val="21"/>
              </w:rPr>
            </w:pPr>
          </w:p>
        </w:tc>
      </w:tr>
      <w:tr w14:paraId="1FFF7F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7" w:hRule="atLeast"/>
        </w:trPr>
        <w:tc>
          <w:tcPr>
            <w:tcW w:w="1633" w:type="dxa"/>
            <w:gridSpan w:val="2"/>
            <w:vMerge w:val="continue"/>
            <w:tcBorders>
              <w:top w:val="nil"/>
            </w:tcBorders>
            <w:vAlign w:val="top"/>
          </w:tcPr>
          <w:p w14:paraId="7CB394B9">
            <w:pPr>
              <w:rPr>
                <w:rFonts w:ascii="Arial"/>
                <w:sz w:val="21"/>
                <w:szCs w:val="21"/>
              </w:rPr>
            </w:pPr>
          </w:p>
        </w:tc>
        <w:tc>
          <w:tcPr>
            <w:tcW w:w="5963" w:type="dxa"/>
            <w:vAlign w:val="center"/>
          </w:tcPr>
          <w:p w14:paraId="72D67BC6">
            <w:pPr>
              <w:pStyle w:val="11"/>
              <w:spacing w:before="33" w:line="205" w:lineRule="auto"/>
              <w:ind w:left="2717" w:hanging="2705"/>
              <w:jc w:val="center"/>
              <w:rPr>
                <w:sz w:val="21"/>
                <w:szCs w:val="21"/>
              </w:rPr>
            </w:pPr>
            <w:r>
              <w:rPr>
                <w:spacing w:val="-3"/>
                <w:sz w:val="21"/>
                <w:szCs w:val="21"/>
              </w:rPr>
              <w:t>建立安全教育培训制度，定期开展安全教育培训并做好</w:t>
            </w:r>
            <w:r>
              <w:rPr>
                <w:spacing w:val="5"/>
                <w:sz w:val="21"/>
                <w:szCs w:val="21"/>
              </w:rPr>
              <w:t>记录</w:t>
            </w:r>
          </w:p>
        </w:tc>
        <w:tc>
          <w:tcPr>
            <w:tcW w:w="712" w:type="dxa"/>
            <w:vAlign w:val="center"/>
          </w:tcPr>
          <w:p w14:paraId="1431E8F6">
            <w:pPr>
              <w:pStyle w:val="11"/>
              <w:spacing w:before="208"/>
              <w:jc w:val="center"/>
              <w:rPr>
                <w:sz w:val="21"/>
                <w:szCs w:val="21"/>
              </w:rPr>
            </w:pPr>
            <w:r>
              <w:rPr>
                <w:color w:val="505040"/>
                <w:sz w:val="21"/>
                <w:szCs w:val="21"/>
              </w:rPr>
              <w:t>3</w:t>
            </w:r>
          </w:p>
        </w:tc>
        <w:tc>
          <w:tcPr>
            <w:tcW w:w="951" w:type="dxa"/>
            <w:vAlign w:val="center"/>
          </w:tcPr>
          <w:p w14:paraId="2FA17EB2">
            <w:pPr>
              <w:jc w:val="center"/>
              <w:rPr>
                <w:rFonts w:ascii="Arial"/>
                <w:sz w:val="21"/>
                <w:szCs w:val="21"/>
              </w:rPr>
            </w:pPr>
          </w:p>
        </w:tc>
      </w:tr>
      <w:tr w14:paraId="271670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3" w:hRule="atLeast"/>
        </w:trPr>
        <w:tc>
          <w:tcPr>
            <w:tcW w:w="764" w:type="dxa"/>
            <w:vMerge w:val="restart"/>
            <w:vAlign w:val="top"/>
          </w:tcPr>
          <w:p w14:paraId="790AFFEF">
            <w:pPr>
              <w:spacing w:line="260" w:lineRule="auto"/>
              <w:rPr>
                <w:rFonts w:ascii="Arial"/>
                <w:sz w:val="21"/>
                <w:szCs w:val="21"/>
              </w:rPr>
            </w:pPr>
          </w:p>
          <w:p w14:paraId="4153CD5F">
            <w:pPr>
              <w:spacing w:line="260" w:lineRule="auto"/>
              <w:rPr>
                <w:rFonts w:ascii="Arial"/>
                <w:sz w:val="21"/>
                <w:szCs w:val="21"/>
              </w:rPr>
            </w:pPr>
          </w:p>
          <w:p w14:paraId="219B66D8">
            <w:pPr>
              <w:spacing w:line="260" w:lineRule="auto"/>
              <w:rPr>
                <w:rFonts w:ascii="Arial"/>
                <w:sz w:val="21"/>
                <w:szCs w:val="21"/>
              </w:rPr>
            </w:pPr>
          </w:p>
          <w:p w14:paraId="16ACC78F">
            <w:pPr>
              <w:spacing w:line="260" w:lineRule="auto"/>
              <w:rPr>
                <w:rFonts w:ascii="Arial"/>
                <w:sz w:val="21"/>
                <w:szCs w:val="21"/>
              </w:rPr>
            </w:pPr>
          </w:p>
          <w:p w14:paraId="7721A222">
            <w:pPr>
              <w:spacing w:line="261" w:lineRule="auto"/>
              <w:rPr>
                <w:rFonts w:ascii="Arial"/>
                <w:sz w:val="21"/>
                <w:szCs w:val="21"/>
              </w:rPr>
            </w:pPr>
          </w:p>
          <w:p w14:paraId="4F81F134">
            <w:pPr>
              <w:spacing w:line="261" w:lineRule="auto"/>
              <w:rPr>
                <w:rFonts w:ascii="Arial"/>
                <w:sz w:val="21"/>
                <w:szCs w:val="21"/>
              </w:rPr>
            </w:pPr>
          </w:p>
          <w:p w14:paraId="46E18610">
            <w:pPr>
              <w:spacing w:line="261" w:lineRule="auto"/>
              <w:rPr>
                <w:rFonts w:ascii="Arial"/>
                <w:sz w:val="21"/>
                <w:szCs w:val="21"/>
              </w:rPr>
            </w:pPr>
          </w:p>
          <w:p w14:paraId="26A588CE">
            <w:pPr>
              <w:spacing w:line="261" w:lineRule="auto"/>
              <w:rPr>
                <w:rFonts w:ascii="Arial"/>
                <w:sz w:val="21"/>
                <w:szCs w:val="21"/>
              </w:rPr>
            </w:pPr>
          </w:p>
          <w:p w14:paraId="2C0E2934">
            <w:pPr>
              <w:spacing w:line="261" w:lineRule="auto"/>
              <w:rPr>
                <w:rFonts w:ascii="Arial"/>
                <w:sz w:val="21"/>
                <w:szCs w:val="21"/>
              </w:rPr>
            </w:pPr>
          </w:p>
          <w:p w14:paraId="48C7302B">
            <w:pPr>
              <w:spacing w:line="261" w:lineRule="auto"/>
              <w:rPr>
                <w:rFonts w:ascii="Arial"/>
                <w:sz w:val="21"/>
                <w:szCs w:val="21"/>
              </w:rPr>
            </w:pPr>
          </w:p>
          <w:p w14:paraId="463E3541">
            <w:pPr>
              <w:spacing w:line="261" w:lineRule="auto"/>
              <w:rPr>
                <w:rFonts w:ascii="Arial"/>
                <w:sz w:val="21"/>
                <w:szCs w:val="21"/>
              </w:rPr>
            </w:pPr>
          </w:p>
          <w:p w14:paraId="1EDD72CC">
            <w:pPr>
              <w:pStyle w:val="11"/>
              <w:spacing w:before="22" w:line="220" w:lineRule="auto"/>
              <w:ind w:left="125"/>
              <w:rPr>
                <w:spacing w:val="7"/>
                <w:sz w:val="21"/>
                <w:szCs w:val="21"/>
              </w:rPr>
            </w:pPr>
            <w:r>
              <w:rPr>
                <w:spacing w:val="7"/>
                <w:sz w:val="21"/>
                <w:szCs w:val="21"/>
              </w:rPr>
              <w:t>作业</w:t>
            </w:r>
          </w:p>
          <w:p w14:paraId="44999C81">
            <w:pPr>
              <w:pStyle w:val="11"/>
              <w:spacing w:before="22" w:line="220" w:lineRule="auto"/>
              <w:ind w:left="125"/>
              <w:rPr>
                <w:sz w:val="21"/>
                <w:szCs w:val="21"/>
              </w:rPr>
            </w:pPr>
            <w:r>
              <w:rPr>
                <w:spacing w:val="7"/>
                <w:sz w:val="21"/>
                <w:szCs w:val="21"/>
              </w:rPr>
              <w:t>现场</w:t>
            </w:r>
          </w:p>
        </w:tc>
        <w:tc>
          <w:tcPr>
            <w:tcW w:w="869" w:type="dxa"/>
            <w:vMerge w:val="restart"/>
            <w:tcBorders>
              <w:bottom w:val="nil"/>
            </w:tcBorders>
            <w:vAlign w:val="center"/>
          </w:tcPr>
          <w:p w14:paraId="58CDBF9A">
            <w:pPr>
              <w:pStyle w:val="11"/>
              <w:spacing w:before="82" w:line="220" w:lineRule="auto"/>
              <w:jc w:val="center"/>
              <w:rPr>
                <w:sz w:val="21"/>
                <w:szCs w:val="21"/>
              </w:rPr>
            </w:pPr>
            <w:r>
              <w:rPr>
                <w:spacing w:val="9"/>
                <w:sz w:val="21"/>
                <w:szCs w:val="21"/>
              </w:rPr>
              <w:t>维护</w:t>
            </w:r>
            <w:r>
              <w:rPr>
                <w:spacing w:val="3"/>
                <w:sz w:val="21"/>
                <w:szCs w:val="21"/>
              </w:rPr>
              <w:t>作业安全</w:t>
            </w:r>
          </w:p>
        </w:tc>
        <w:tc>
          <w:tcPr>
            <w:tcW w:w="5963" w:type="dxa"/>
            <w:vAlign w:val="center"/>
          </w:tcPr>
          <w:p w14:paraId="12A7911F">
            <w:pPr>
              <w:pStyle w:val="11"/>
              <w:spacing w:before="45" w:line="233" w:lineRule="auto"/>
              <w:ind w:left="12"/>
              <w:jc w:val="center"/>
              <w:rPr>
                <w:sz w:val="21"/>
                <w:szCs w:val="21"/>
              </w:rPr>
            </w:pPr>
            <w:r>
              <w:rPr>
                <w:spacing w:val="-3"/>
                <w:sz w:val="21"/>
                <w:szCs w:val="21"/>
              </w:rPr>
              <w:t>个人防护用品齐全，高空作业时高空作业人员需佩戴安全帽和安全绳，夜间作业穿戴反光背心；不符合的每处</w:t>
            </w:r>
            <w:r>
              <w:rPr>
                <w:color w:val="605060"/>
                <w:spacing w:val="-3"/>
                <w:sz w:val="21"/>
                <w:szCs w:val="21"/>
              </w:rPr>
              <w:t>扣1分</w:t>
            </w:r>
          </w:p>
        </w:tc>
        <w:tc>
          <w:tcPr>
            <w:tcW w:w="712" w:type="dxa"/>
            <w:vAlign w:val="center"/>
          </w:tcPr>
          <w:p w14:paraId="7C0CC3FA">
            <w:pPr>
              <w:pStyle w:val="11"/>
              <w:spacing w:before="81" w:line="241" w:lineRule="auto"/>
              <w:jc w:val="center"/>
              <w:rPr>
                <w:sz w:val="21"/>
                <w:szCs w:val="21"/>
              </w:rPr>
            </w:pPr>
            <w:r>
              <w:rPr>
                <w:color w:val="807060"/>
                <w:sz w:val="21"/>
                <w:szCs w:val="21"/>
              </w:rPr>
              <w:t>4</w:t>
            </w:r>
          </w:p>
        </w:tc>
        <w:tc>
          <w:tcPr>
            <w:tcW w:w="951" w:type="dxa"/>
            <w:vAlign w:val="top"/>
          </w:tcPr>
          <w:p w14:paraId="01DE405E">
            <w:pPr>
              <w:rPr>
                <w:rFonts w:ascii="Arial"/>
                <w:sz w:val="21"/>
                <w:szCs w:val="21"/>
              </w:rPr>
            </w:pPr>
          </w:p>
        </w:tc>
      </w:tr>
      <w:tr w14:paraId="53AB23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3" w:hRule="atLeast"/>
        </w:trPr>
        <w:tc>
          <w:tcPr>
            <w:tcW w:w="764" w:type="dxa"/>
            <w:vMerge w:val="continue"/>
            <w:vAlign w:val="top"/>
          </w:tcPr>
          <w:p w14:paraId="2C88A255">
            <w:pPr>
              <w:rPr>
                <w:rFonts w:ascii="Arial"/>
                <w:sz w:val="21"/>
                <w:szCs w:val="21"/>
              </w:rPr>
            </w:pPr>
          </w:p>
        </w:tc>
        <w:tc>
          <w:tcPr>
            <w:tcW w:w="869" w:type="dxa"/>
            <w:vMerge w:val="continue"/>
            <w:tcBorders>
              <w:top w:val="nil"/>
              <w:bottom w:val="nil"/>
            </w:tcBorders>
            <w:vAlign w:val="center"/>
          </w:tcPr>
          <w:p w14:paraId="46CE1AE9">
            <w:pPr>
              <w:jc w:val="center"/>
              <w:rPr>
                <w:rFonts w:ascii="Arial"/>
                <w:sz w:val="21"/>
                <w:szCs w:val="21"/>
              </w:rPr>
            </w:pPr>
          </w:p>
        </w:tc>
        <w:tc>
          <w:tcPr>
            <w:tcW w:w="5963" w:type="dxa"/>
            <w:vAlign w:val="center"/>
          </w:tcPr>
          <w:p w14:paraId="08190B5C">
            <w:pPr>
              <w:pStyle w:val="11"/>
              <w:spacing w:before="36" w:line="215" w:lineRule="auto"/>
              <w:jc w:val="center"/>
              <w:rPr>
                <w:sz w:val="21"/>
                <w:szCs w:val="21"/>
              </w:rPr>
            </w:pPr>
            <w:r>
              <w:rPr>
                <w:spacing w:val="-3"/>
                <w:sz w:val="21"/>
                <w:szCs w:val="21"/>
              </w:rPr>
              <w:t>维护作业现场防护到位，设置监护人员及安全围挡，占</w:t>
            </w:r>
            <w:r>
              <w:rPr>
                <w:spacing w:val="-1"/>
                <w:sz w:val="21"/>
                <w:szCs w:val="21"/>
              </w:rPr>
              <w:t>道作业设施交通疏导员；不符合的每处扣1分</w:t>
            </w:r>
          </w:p>
        </w:tc>
        <w:tc>
          <w:tcPr>
            <w:tcW w:w="712" w:type="dxa"/>
            <w:vAlign w:val="top"/>
          </w:tcPr>
          <w:p w14:paraId="32C112B5">
            <w:pPr>
              <w:pStyle w:val="11"/>
              <w:spacing w:before="221" w:line="241" w:lineRule="auto"/>
              <w:ind w:left="319"/>
              <w:rPr>
                <w:sz w:val="21"/>
                <w:szCs w:val="21"/>
              </w:rPr>
            </w:pPr>
            <w:r>
              <w:rPr>
                <w:color w:val="807060"/>
                <w:sz w:val="21"/>
                <w:szCs w:val="21"/>
              </w:rPr>
              <w:t>4</w:t>
            </w:r>
          </w:p>
        </w:tc>
        <w:tc>
          <w:tcPr>
            <w:tcW w:w="951" w:type="dxa"/>
            <w:vAlign w:val="top"/>
          </w:tcPr>
          <w:p w14:paraId="7153AAEF">
            <w:pPr>
              <w:rPr>
                <w:rFonts w:ascii="Arial"/>
                <w:sz w:val="21"/>
                <w:szCs w:val="21"/>
              </w:rPr>
            </w:pPr>
          </w:p>
        </w:tc>
      </w:tr>
      <w:tr w14:paraId="38C81E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3" w:hRule="atLeast"/>
        </w:trPr>
        <w:tc>
          <w:tcPr>
            <w:tcW w:w="764" w:type="dxa"/>
            <w:vMerge w:val="continue"/>
            <w:vAlign w:val="top"/>
          </w:tcPr>
          <w:p w14:paraId="5E5088E0">
            <w:pPr>
              <w:rPr>
                <w:rFonts w:ascii="Arial"/>
                <w:sz w:val="21"/>
                <w:szCs w:val="21"/>
              </w:rPr>
            </w:pPr>
          </w:p>
        </w:tc>
        <w:tc>
          <w:tcPr>
            <w:tcW w:w="869" w:type="dxa"/>
            <w:vMerge w:val="continue"/>
            <w:tcBorders>
              <w:top w:val="nil"/>
            </w:tcBorders>
            <w:vAlign w:val="center"/>
          </w:tcPr>
          <w:p w14:paraId="5AF4A4B9">
            <w:pPr>
              <w:jc w:val="center"/>
              <w:rPr>
                <w:rFonts w:ascii="Arial"/>
                <w:sz w:val="21"/>
                <w:szCs w:val="21"/>
              </w:rPr>
            </w:pPr>
          </w:p>
        </w:tc>
        <w:tc>
          <w:tcPr>
            <w:tcW w:w="5963" w:type="dxa"/>
            <w:vAlign w:val="center"/>
          </w:tcPr>
          <w:p w14:paraId="7A90D59C">
            <w:pPr>
              <w:pStyle w:val="11"/>
              <w:spacing w:before="97" w:line="219" w:lineRule="auto"/>
              <w:jc w:val="center"/>
              <w:rPr>
                <w:sz w:val="21"/>
                <w:szCs w:val="21"/>
              </w:rPr>
            </w:pPr>
            <w:r>
              <w:rPr>
                <w:spacing w:val="-1"/>
                <w:sz w:val="21"/>
                <w:szCs w:val="21"/>
              </w:rPr>
              <w:t>维护设备、维护工具符合要求，不符合的每处扣1分</w:t>
            </w:r>
          </w:p>
        </w:tc>
        <w:tc>
          <w:tcPr>
            <w:tcW w:w="712" w:type="dxa"/>
            <w:vAlign w:val="top"/>
          </w:tcPr>
          <w:p w14:paraId="1C37CD16">
            <w:pPr>
              <w:pStyle w:val="11"/>
              <w:spacing w:before="122" w:line="212" w:lineRule="auto"/>
              <w:ind w:left="319"/>
              <w:rPr>
                <w:sz w:val="21"/>
                <w:szCs w:val="21"/>
              </w:rPr>
            </w:pPr>
            <w:r>
              <w:rPr>
                <w:sz w:val="21"/>
                <w:szCs w:val="21"/>
              </w:rPr>
              <w:t>2</w:t>
            </w:r>
          </w:p>
        </w:tc>
        <w:tc>
          <w:tcPr>
            <w:tcW w:w="951" w:type="dxa"/>
            <w:vAlign w:val="top"/>
          </w:tcPr>
          <w:p w14:paraId="089C0ECF">
            <w:pPr>
              <w:rPr>
                <w:rFonts w:ascii="Arial"/>
                <w:sz w:val="21"/>
                <w:szCs w:val="21"/>
              </w:rPr>
            </w:pPr>
          </w:p>
        </w:tc>
      </w:tr>
      <w:tr w14:paraId="6871B4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3" w:hRule="atLeast"/>
        </w:trPr>
        <w:tc>
          <w:tcPr>
            <w:tcW w:w="764" w:type="dxa"/>
            <w:vMerge w:val="continue"/>
            <w:vAlign w:val="top"/>
          </w:tcPr>
          <w:p w14:paraId="2716E1D8">
            <w:pPr>
              <w:rPr>
                <w:rFonts w:ascii="Arial"/>
                <w:sz w:val="21"/>
                <w:szCs w:val="21"/>
              </w:rPr>
            </w:pPr>
          </w:p>
        </w:tc>
        <w:tc>
          <w:tcPr>
            <w:tcW w:w="869" w:type="dxa"/>
            <w:vMerge w:val="restart"/>
            <w:tcBorders>
              <w:bottom w:val="nil"/>
            </w:tcBorders>
            <w:vAlign w:val="center"/>
          </w:tcPr>
          <w:p w14:paraId="6431051B">
            <w:pPr>
              <w:pStyle w:val="11"/>
              <w:spacing w:before="82" w:line="221" w:lineRule="auto"/>
              <w:jc w:val="center"/>
              <w:rPr>
                <w:sz w:val="21"/>
                <w:szCs w:val="21"/>
              </w:rPr>
            </w:pPr>
            <w:r>
              <w:rPr>
                <w:spacing w:val="5"/>
                <w:sz w:val="21"/>
                <w:szCs w:val="21"/>
              </w:rPr>
              <w:t>设施</w:t>
            </w:r>
            <w:r>
              <w:rPr>
                <w:spacing w:val="4"/>
                <w:sz w:val="21"/>
                <w:szCs w:val="21"/>
              </w:rPr>
              <w:t>完好</w:t>
            </w:r>
            <w:r>
              <w:rPr>
                <w:sz w:val="21"/>
                <w:szCs w:val="21"/>
              </w:rPr>
              <w:t>率</w:t>
            </w:r>
          </w:p>
        </w:tc>
        <w:tc>
          <w:tcPr>
            <w:tcW w:w="5963" w:type="dxa"/>
            <w:vAlign w:val="center"/>
          </w:tcPr>
          <w:p w14:paraId="0611838A">
            <w:pPr>
              <w:pStyle w:val="11"/>
              <w:spacing w:before="77" w:line="216" w:lineRule="auto"/>
              <w:jc w:val="center"/>
              <w:rPr>
                <w:sz w:val="21"/>
                <w:szCs w:val="21"/>
              </w:rPr>
            </w:pPr>
            <w:r>
              <w:rPr>
                <w:sz w:val="21"/>
                <w:szCs w:val="21"/>
              </w:rPr>
              <w:t>灯杆检测门关闭牢固无缺失，不符合的每处扣0.</w:t>
            </w:r>
            <w:r>
              <w:rPr>
                <w:spacing w:val="-1"/>
                <w:sz w:val="21"/>
                <w:szCs w:val="21"/>
              </w:rPr>
              <w:t>5分</w:t>
            </w:r>
          </w:p>
        </w:tc>
        <w:tc>
          <w:tcPr>
            <w:tcW w:w="712" w:type="dxa"/>
            <w:vAlign w:val="top"/>
          </w:tcPr>
          <w:p w14:paraId="36AD0985">
            <w:pPr>
              <w:pStyle w:val="11"/>
              <w:spacing w:before="101" w:line="198" w:lineRule="auto"/>
              <w:ind w:left="319"/>
              <w:rPr>
                <w:sz w:val="21"/>
                <w:szCs w:val="21"/>
              </w:rPr>
            </w:pPr>
            <w:r>
              <w:rPr>
                <w:color w:val="506050"/>
                <w:sz w:val="21"/>
                <w:szCs w:val="21"/>
              </w:rPr>
              <w:t>2</w:t>
            </w:r>
          </w:p>
        </w:tc>
        <w:tc>
          <w:tcPr>
            <w:tcW w:w="951" w:type="dxa"/>
            <w:vAlign w:val="top"/>
          </w:tcPr>
          <w:p w14:paraId="3A045144">
            <w:pPr>
              <w:rPr>
                <w:rFonts w:ascii="Arial"/>
                <w:sz w:val="21"/>
                <w:szCs w:val="21"/>
              </w:rPr>
            </w:pPr>
          </w:p>
        </w:tc>
      </w:tr>
      <w:tr w14:paraId="7AE434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3" w:hRule="atLeast"/>
        </w:trPr>
        <w:tc>
          <w:tcPr>
            <w:tcW w:w="764" w:type="dxa"/>
            <w:vMerge w:val="continue"/>
            <w:vAlign w:val="top"/>
          </w:tcPr>
          <w:p w14:paraId="21928E39">
            <w:pPr>
              <w:rPr>
                <w:rFonts w:ascii="Arial"/>
                <w:sz w:val="21"/>
                <w:szCs w:val="21"/>
              </w:rPr>
            </w:pPr>
          </w:p>
        </w:tc>
        <w:tc>
          <w:tcPr>
            <w:tcW w:w="869" w:type="dxa"/>
            <w:vMerge w:val="continue"/>
            <w:tcBorders>
              <w:top w:val="nil"/>
              <w:bottom w:val="nil"/>
            </w:tcBorders>
            <w:vAlign w:val="center"/>
          </w:tcPr>
          <w:p w14:paraId="644E965A">
            <w:pPr>
              <w:jc w:val="center"/>
              <w:rPr>
                <w:rFonts w:ascii="Arial"/>
                <w:sz w:val="21"/>
                <w:szCs w:val="21"/>
              </w:rPr>
            </w:pPr>
          </w:p>
        </w:tc>
        <w:tc>
          <w:tcPr>
            <w:tcW w:w="5963" w:type="dxa"/>
            <w:vAlign w:val="center"/>
          </w:tcPr>
          <w:p w14:paraId="6F26B907">
            <w:pPr>
              <w:pStyle w:val="11"/>
              <w:spacing w:before="97" w:line="219" w:lineRule="auto"/>
              <w:jc w:val="center"/>
              <w:rPr>
                <w:sz w:val="21"/>
                <w:szCs w:val="21"/>
              </w:rPr>
            </w:pPr>
            <w:r>
              <w:rPr>
                <w:sz w:val="21"/>
                <w:szCs w:val="21"/>
              </w:rPr>
              <w:t>无架空线及灯杆外漏线，不符合的每处扣0</w:t>
            </w:r>
            <w:r>
              <w:rPr>
                <w:spacing w:val="-1"/>
                <w:sz w:val="21"/>
                <w:szCs w:val="21"/>
              </w:rPr>
              <w:t>.5分</w:t>
            </w:r>
          </w:p>
        </w:tc>
        <w:tc>
          <w:tcPr>
            <w:tcW w:w="712" w:type="dxa"/>
            <w:vAlign w:val="top"/>
          </w:tcPr>
          <w:p w14:paraId="66EF01D5">
            <w:pPr>
              <w:pStyle w:val="11"/>
              <w:spacing w:before="122" w:line="212" w:lineRule="auto"/>
              <w:ind w:left="319"/>
              <w:rPr>
                <w:sz w:val="21"/>
                <w:szCs w:val="21"/>
              </w:rPr>
            </w:pPr>
            <w:r>
              <w:rPr>
                <w:color w:val="404040"/>
                <w:sz w:val="21"/>
                <w:szCs w:val="21"/>
              </w:rPr>
              <w:t>2</w:t>
            </w:r>
          </w:p>
        </w:tc>
        <w:tc>
          <w:tcPr>
            <w:tcW w:w="951" w:type="dxa"/>
            <w:vAlign w:val="top"/>
          </w:tcPr>
          <w:p w14:paraId="3E0DB2B6">
            <w:pPr>
              <w:rPr>
                <w:rFonts w:ascii="Arial"/>
                <w:sz w:val="21"/>
                <w:szCs w:val="21"/>
              </w:rPr>
            </w:pPr>
          </w:p>
        </w:tc>
      </w:tr>
      <w:tr w14:paraId="07202E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3" w:hRule="atLeast"/>
        </w:trPr>
        <w:tc>
          <w:tcPr>
            <w:tcW w:w="764" w:type="dxa"/>
            <w:vMerge w:val="continue"/>
            <w:vAlign w:val="top"/>
          </w:tcPr>
          <w:p w14:paraId="57E67F9C">
            <w:pPr>
              <w:rPr>
                <w:rFonts w:ascii="Arial"/>
                <w:sz w:val="21"/>
                <w:szCs w:val="21"/>
              </w:rPr>
            </w:pPr>
          </w:p>
        </w:tc>
        <w:tc>
          <w:tcPr>
            <w:tcW w:w="869" w:type="dxa"/>
            <w:vMerge w:val="continue"/>
            <w:tcBorders>
              <w:top w:val="nil"/>
              <w:bottom w:val="nil"/>
            </w:tcBorders>
            <w:vAlign w:val="center"/>
          </w:tcPr>
          <w:p w14:paraId="289BAC2C">
            <w:pPr>
              <w:jc w:val="center"/>
              <w:rPr>
                <w:rFonts w:ascii="Arial"/>
                <w:sz w:val="21"/>
                <w:szCs w:val="21"/>
              </w:rPr>
            </w:pPr>
          </w:p>
        </w:tc>
        <w:tc>
          <w:tcPr>
            <w:tcW w:w="5963" w:type="dxa"/>
            <w:vAlign w:val="center"/>
          </w:tcPr>
          <w:p w14:paraId="23FCAECB">
            <w:pPr>
              <w:pStyle w:val="11"/>
              <w:spacing w:before="77" w:line="219" w:lineRule="auto"/>
              <w:jc w:val="center"/>
              <w:rPr>
                <w:sz w:val="21"/>
                <w:szCs w:val="21"/>
              </w:rPr>
            </w:pPr>
            <w:r>
              <w:rPr>
                <w:spacing w:val="1"/>
                <w:sz w:val="21"/>
                <w:szCs w:val="21"/>
              </w:rPr>
              <w:t>接地线规范，不符合的每处扣0.5分</w:t>
            </w:r>
          </w:p>
        </w:tc>
        <w:tc>
          <w:tcPr>
            <w:tcW w:w="712" w:type="dxa"/>
            <w:vAlign w:val="top"/>
          </w:tcPr>
          <w:p w14:paraId="79E9EE67">
            <w:pPr>
              <w:pStyle w:val="11"/>
              <w:spacing w:before="102" w:line="205" w:lineRule="auto"/>
              <w:ind w:left="319"/>
              <w:rPr>
                <w:sz w:val="21"/>
                <w:szCs w:val="21"/>
              </w:rPr>
            </w:pPr>
            <w:r>
              <w:rPr>
                <w:sz w:val="21"/>
                <w:szCs w:val="21"/>
              </w:rPr>
              <w:t>2</w:t>
            </w:r>
          </w:p>
        </w:tc>
        <w:tc>
          <w:tcPr>
            <w:tcW w:w="951" w:type="dxa"/>
            <w:vAlign w:val="top"/>
          </w:tcPr>
          <w:p w14:paraId="1B5F0F35">
            <w:pPr>
              <w:rPr>
                <w:rFonts w:ascii="Arial"/>
                <w:sz w:val="21"/>
                <w:szCs w:val="21"/>
              </w:rPr>
            </w:pPr>
          </w:p>
        </w:tc>
      </w:tr>
      <w:tr w14:paraId="48839D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3" w:hRule="atLeast"/>
        </w:trPr>
        <w:tc>
          <w:tcPr>
            <w:tcW w:w="764" w:type="dxa"/>
            <w:vMerge w:val="continue"/>
            <w:vAlign w:val="top"/>
          </w:tcPr>
          <w:p w14:paraId="7DB5534A">
            <w:pPr>
              <w:rPr>
                <w:rFonts w:ascii="Arial"/>
                <w:sz w:val="21"/>
                <w:szCs w:val="21"/>
              </w:rPr>
            </w:pPr>
          </w:p>
        </w:tc>
        <w:tc>
          <w:tcPr>
            <w:tcW w:w="869" w:type="dxa"/>
            <w:vMerge w:val="continue"/>
            <w:tcBorders>
              <w:top w:val="nil"/>
            </w:tcBorders>
            <w:vAlign w:val="center"/>
          </w:tcPr>
          <w:p w14:paraId="4F6A3C2D">
            <w:pPr>
              <w:jc w:val="center"/>
              <w:rPr>
                <w:rFonts w:ascii="Arial"/>
                <w:sz w:val="21"/>
                <w:szCs w:val="21"/>
              </w:rPr>
            </w:pPr>
          </w:p>
        </w:tc>
        <w:tc>
          <w:tcPr>
            <w:tcW w:w="5963" w:type="dxa"/>
            <w:vAlign w:val="center"/>
          </w:tcPr>
          <w:p w14:paraId="0603F57D">
            <w:pPr>
              <w:pStyle w:val="11"/>
              <w:spacing w:before="46" w:line="202" w:lineRule="auto"/>
              <w:jc w:val="center"/>
              <w:rPr>
                <w:sz w:val="21"/>
                <w:szCs w:val="21"/>
              </w:rPr>
            </w:pPr>
            <w:r>
              <w:rPr>
                <w:spacing w:val="-1"/>
                <w:sz w:val="21"/>
                <w:szCs w:val="21"/>
              </w:rPr>
              <w:t>灯具、树饰无破损等安全隐患，不符合的每处扣1分</w:t>
            </w:r>
          </w:p>
        </w:tc>
        <w:tc>
          <w:tcPr>
            <w:tcW w:w="712" w:type="dxa"/>
            <w:vAlign w:val="center"/>
          </w:tcPr>
          <w:p w14:paraId="7148D66A">
            <w:pPr>
              <w:pStyle w:val="11"/>
              <w:spacing w:before="77" w:line="216" w:lineRule="auto"/>
              <w:jc w:val="center"/>
              <w:rPr>
                <w:sz w:val="21"/>
                <w:szCs w:val="21"/>
              </w:rPr>
            </w:pPr>
            <w:r>
              <w:rPr>
                <w:sz w:val="21"/>
                <w:szCs w:val="21"/>
              </w:rPr>
              <w:t>10</w:t>
            </w:r>
          </w:p>
        </w:tc>
        <w:tc>
          <w:tcPr>
            <w:tcW w:w="951" w:type="dxa"/>
            <w:vAlign w:val="top"/>
          </w:tcPr>
          <w:p w14:paraId="6AD58558">
            <w:pPr>
              <w:pStyle w:val="11"/>
              <w:spacing w:before="77" w:line="216" w:lineRule="auto"/>
              <w:rPr>
                <w:sz w:val="21"/>
                <w:szCs w:val="21"/>
              </w:rPr>
            </w:pPr>
          </w:p>
        </w:tc>
      </w:tr>
      <w:tr w14:paraId="2D8169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3" w:hRule="atLeast"/>
        </w:trPr>
        <w:tc>
          <w:tcPr>
            <w:tcW w:w="764" w:type="dxa"/>
            <w:vMerge w:val="continue"/>
            <w:vAlign w:val="top"/>
          </w:tcPr>
          <w:p w14:paraId="693C8BCF">
            <w:pPr>
              <w:rPr>
                <w:rFonts w:ascii="Arial"/>
                <w:sz w:val="21"/>
                <w:szCs w:val="21"/>
              </w:rPr>
            </w:pPr>
          </w:p>
        </w:tc>
        <w:tc>
          <w:tcPr>
            <w:tcW w:w="869" w:type="dxa"/>
            <w:vMerge w:val="restart"/>
            <w:tcBorders>
              <w:bottom w:val="nil"/>
            </w:tcBorders>
            <w:vAlign w:val="center"/>
          </w:tcPr>
          <w:p w14:paraId="63109F4D">
            <w:pPr>
              <w:pStyle w:val="11"/>
              <w:spacing w:before="267" w:line="219" w:lineRule="auto"/>
              <w:jc w:val="center"/>
              <w:rPr>
                <w:sz w:val="21"/>
                <w:szCs w:val="21"/>
              </w:rPr>
            </w:pPr>
            <w:r>
              <w:rPr>
                <w:spacing w:val="7"/>
                <w:sz w:val="21"/>
                <w:szCs w:val="21"/>
              </w:rPr>
              <w:t>亮灯</w:t>
            </w:r>
            <w:r>
              <w:rPr>
                <w:spacing w:val="13"/>
                <w:sz w:val="21"/>
                <w:szCs w:val="21"/>
              </w:rPr>
              <w:t>照明</w:t>
            </w:r>
            <w:r>
              <w:rPr>
                <w:spacing w:val="7"/>
                <w:sz w:val="21"/>
                <w:szCs w:val="21"/>
              </w:rPr>
              <w:t>效果</w:t>
            </w:r>
          </w:p>
        </w:tc>
        <w:tc>
          <w:tcPr>
            <w:tcW w:w="5963" w:type="dxa"/>
            <w:vAlign w:val="center"/>
          </w:tcPr>
          <w:p w14:paraId="25865D5F">
            <w:pPr>
              <w:pStyle w:val="11"/>
              <w:spacing w:before="157" w:line="219" w:lineRule="auto"/>
              <w:jc w:val="center"/>
              <w:rPr>
                <w:sz w:val="21"/>
                <w:szCs w:val="21"/>
              </w:rPr>
            </w:pPr>
            <w:r>
              <w:rPr>
                <w:sz w:val="21"/>
                <w:szCs w:val="21"/>
              </w:rPr>
              <w:t>光衰明显，色温差异大，一处扣1分</w:t>
            </w:r>
          </w:p>
        </w:tc>
        <w:tc>
          <w:tcPr>
            <w:tcW w:w="712" w:type="dxa"/>
            <w:vAlign w:val="top"/>
          </w:tcPr>
          <w:p w14:paraId="6224445B">
            <w:pPr>
              <w:pStyle w:val="11"/>
              <w:spacing w:before="182" w:line="241" w:lineRule="auto"/>
              <w:ind w:left="319"/>
              <w:rPr>
                <w:sz w:val="21"/>
                <w:szCs w:val="21"/>
              </w:rPr>
            </w:pPr>
            <w:r>
              <w:rPr>
                <w:color w:val="606050"/>
                <w:sz w:val="21"/>
                <w:szCs w:val="21"/>
              </w:rPr>
              <w:t>4</w:t>
            </w:r>
          </w:p>
        </w:tc>
        <w:tc>
          <w:tcPr>
            <w:tcW w:w="951" w:type="dxa"/>
            <w:vAlign w:val="top"/>
          </w:tcPr>
          <w:p w14:paraId="01856354">
            <w:pPr>
              <w:rPr>
                <w:rFonts w:ascii="Arial"/>
                <w:sz w:val="21"/>
                <w:szCs w:val="21"/>
              </w:rPr>
            </w:pPr>
          </w:p>
        </w:tc>
      </w:tr>
      <w:tr w14:paraId="42B563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3" w:hRule="atLeast"/>
        </w:trPr>
        <w:tc>
          <w:tcPr>
            <w:tcW w:w="764" w:type="dxa"/>
            <w:vMerge w:val="continue"/>
            <w:vAlign w:val="top"/>
          </w:tcPr>
          <w:p w14:paraId="10C61591">
            <w:pPr>
              <w:rPr>
                <w:rFonts w:ascii="Arial"/>
                <w:sz w:val="21"/>
                <w:szCs w:val="21"/>
              </w:rPr>
            </w:pPr>
          </w:p>
        </w:tc>
        <w:tc>
          <w:tcPr>
            <w:tcW w:w="869" w:type="dxa"/>
            <w:vMerge w:val="continue"/>
            <w:tcBorders>
              <w:top w:val="nil"/>
              <w:bottom w:val="nil"/>
            </w:tcBorders>
            <w:vAlign w:val="center"/>
          </w:tcPr>
          <w:p w14:paraId="489ACC0D">
            <w:pPr>
              <w:jc w:val="center"/>
              <w:rPr>
                <w:rFonts w:ascii="Arial"/>
                <w:sz w:val="21"/>
                <w:szCs w:val="21"/>
              </w:rPr>
            </w:pPr>
          </w:p>
        </w:tc>
        <w:tc>
          <w:tcPr>
            <w:tcW w:w="5963" w:type="dxa"/>
            <w:vAlign w:val="center"/>
          </w:tcPr>
          <w:p w14:paraId="08F20584">
            <w:pPr>
              <w:pStyle w:val="11"/>
              <w:spacing w:before="89" w:line="220" w:lineRule="auto"/>
              <w:jc w:val="center"/>
              <w:rPr>
                <w:sz w:val="21"/>
                <w:szCs w:val="21"/>
              </w:rPr>
            </w:pPr>
            <w:r>
              <w:rPr>
                <w:spacing w:val="2"/>
                <w:sz w:val="21"/>
                <w:szCs w:val="21"/>
              </w:rPr>
              <w:t>灯具闪，一处扣0.5分</w:t>
            </w:r>
          </w:p>
        </w:tc>
        <w:tc>
          <w:tcPr>
            <w:tcW w:w="712" w:type="dxa"/>
            <w:vAlign w:val="top"/>
          </w:tcPr>
          <w:p w14:paraId="4044F313">
            <w:pPr>
              <w:pStyle w:val="11"/>
              <w:spacing w:before="112" w:line="212" w:lineRule="auto"/>
              <w:ind w:left="319"/>
              <w:rPr>
                <w:sz w:val="21"/>
                <w:szCs w:val="21"/>
              </w:rPr>
            </w:pPr>
            <w:r>
              <w:rPr>
                <w:sz w:val="21"/>
                <w:szCs w:val="21"/>
              </w:rPr>
              <w:t>5</w:t>
            </w:r>
          </w:p>
        </w:tc>
        <w:tc>
          <w:tcPr>
            <w:tcW w:w="951" w:type="dxa"/>
            <w:vAlign w:val="top"/>
          </w:tcPr>
          <w:p w14:paraId="30EE38E4">
            <w:pPr>
              <w:rPr>
                <w:rFonts w:ascii="Arial"/>
                <w:sz w:val="21"/>
                <w:szCs w:val="21"/>
              </w:rPr>
            </w:pPr>
          </w:p>
        </w:tc>
      </w:tr>
      <w:tr w14:paraId="5172E1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3" w:hRule="atLeast"/>
        </w:trPr>
        <w:tc>
          <w:tcPr>
            <w:tcW w:w="764" w:type="dxa"/>
            <w:vMerge w:val="continue"/>
            <w:vAlign w:val="top"/>
          </w:tcPr>
          <w:p w14:paraId="516A001A">
            <w:pPr>
              <w:rPr>
                <w:rFonts w:ascii="Arial"/>
                <w:sz w:val="21"/>
                <w:szCs w:val="21"/>
              </w:rPr>
            </w:pPr>
          </w:p>
        </w:tc>
        <w:tc>
          <w:tcPr>
            <w:tcW w:w="869" w:type="dxa"/>
            <w:vMerge w:val="continue"/>
            <w:tcBorders>
              <w:top w:val="nil"/>
            </w:tcBorders>
            <w:vAlign w:val="center"/>
          </w:tcPr>
          <w:p w14:paraId="3F1A7523">
            <w:pPr>
              <w:jc w:val="center"/>
              <w:rPr>
                <w:rFonts w:ascii="Arial"/>
                <w:sz w:val="21"/>
                <w:szCs w:val="21"/>
              </w:rPr>
            </w:pPr>
          </w:p>
        </w:tc>
        <w:tc>
          <w:tcPr>
            <w:tcW w:w="5963" w:type="dxa"/>
            <w:vAlign w:val="center"/>
          </w:tcPr>
          <w:p w14:paraId="5B6CA4B2">
            <w:pPr>
              <w:pStyle w:val="11"/>
              <w:spacing w:before="108" w:line="219" w:lineRule="auto"/>
              <w:jc w:val="center"/>
              <w:rPr>
                <w:sz w:val="21"/>
                <w:szCs w:val="21"/>
              </w:rPr>
            </w:pPr>
            <w:r>
              <w:rPr>
                <w:sz w:val="21"/>
                <w:szCs w:val="21"/>
              </w:rPr>
              <w:t>景观亮化设施无大面积灭灯，不符合的每处扣3分</w:t>
            </w:r>
          </w:p>
        </w:tc>
        <w:tc>
          <w:tcPr>
            <w:tcW w:w="712" w:type="dxa"/>
            <w:vAlign w:val="top"/>
          </w:tcPr>
          <w:p w14:paraId="0AB677EC">
            <w:pPr>
              <w:pStyle w:val="11"/>
              <w:spacing w:before="133" w:line="218" w:lineRule="auto"/>
              <w:ind w:left="259"/>
              <w:rPr>
                <w:sz w:val="21"/>
                <w:szCs w:val="21"/>
              </w:rPr>
            </w:pPr>
            <w:r>
              <w:rPr>
                <w:spacing w:val="-8"/>
                <w:sz w:val="21"/>
                <w:szCs w:val="21"/>
              </w:rPr>
              <w:t>15</w:t>
            </w:r>
          </w:p>
        </w:tc>
        <w:tc>
          <w:tcPr>
            <w:tcW w:w="951" w:type="dxa"/>
            <w:vAlign w:val="top"/>
          </w:tcPr>
          <w:p w14:paraId="185A8737">
            <w:pPr>
              <w:rPr>
                <w:rFonts w:ascii="Arial"/>
                <w:sz w:val="21"/>
                <w:szCs w:val="21"/>
              </w:rPr>
            </w:pPr>
          </w:p>
        </w:tc>
      </w:tr>
      <w:tr w14:paraId="60669F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3" w:hRule="atLeast"/>
        </w:trPr>
        <w:tc>
          <w:tcPr>
            <w:tcW w:w="764" w:type="dxa"/>
            <w:vMerge w:val="continue"/>
            <w:vAlign w:val="top"/>
          </w:tcPr>
          <w:p w14:paraId="761E0423">
            <w:pPr>
              <w:rPr>
                <w:rFonts w:ascii="Arial"/>
                <w:sz w:val="21"/>
                <w:szCs w:val="21"/>
              </w:rPr>
            </w:pPr>
          </w:p>
        </w:tc>
        <w:tc>
          <w:tcPr>
            <w:tcW w:w="869" w:type="dxa"/>
            <w:vMerge w:val="restart"/>
            <w:tcBorders>
              <w:bottom w:val="nil"/>
            </w:tcBorders>
            <w:vAlign w:val="center"/>
          </w:tcPr>
          <w:p w14:paraId="3E8CC30B">
            <w:pPr>
              <w:pStyle w:val="11"/>
              <w:spacing w:before="250" w:line="245" w:lineRule="auto"/>
              <w:ind w:right="197"/>
              <w:jc w:val="center"/>
              <w:rPr>
                <w:sz w:val="21"/>
                <w:szCs w:val="21"/>
              </w:rPr>
            </w:pPr>
            <w:r>
              <w:rPr>
                <w:spacing w:val="-5"/>
                <w:sz w:val="21"/>
                <w:szCs w:val="21"/>
              </w:rPr>
              <w:t>清洁</w:t>
            </w:r>
            <w:r>
              <w:rPr>
                <w:sz w:val="21"/>
                <w:szCs w:val="21"/>
              </w:rPr>
              <w:t>率</w:t>
            </w:r>
          </w:p>
        </w:tc>
        <w:tc>
          <w:tcPr>
            <w:tcW w:w="5963" w:type="dxa"/>
            <w:vAlign w:val="center"/>
          </w:tcPr>
          <w:p w14:paraId="120A557F">
            <w:pPr>
              <w:pStyle w:val="11"/>
              <w:spacing w:before="109" w:line="219" w:lineRule="auto"/>
              <w:jc w:val="center"/>
              <w:rPr>
                <w:sz w:val="21"/>
                <w:szCs w:val="21"/>
              </w:rPr>
            </w:pPr>
            <w:r>
              <w:rPr>
                <w:sz w:val="21"/>
                <w:szCs w:val="21"/>
              </w:rPr>
              <w:t>灯杆未悬挂或张贴异物，不符合的每处扣0.</w:t>
            </w:r>
            <w:r>
              <w:rPr>
                <w:spacing w:val="-1"/>
                <w:sz w:val="21"/>
                <w:szCs w:val="21"/>
              </w:rPr>
              <w:t>5分</w:t>
            </w:r>
          </w:p>
        </w:tc>
        <w:tc>
          <w:tcPr>
            <w:tcW w:w="712" w:type="dxa"/>
            <w:vAlign w:val="top"/>
          </w:tcPr>
          <w:p w14:paraId="7D4D21E9">
            <w:pPr>
              <w:pStyle w:val="11"/>
              <w:spacing w:before="134" w:line="218" w:lineRule="auto"/>
              <w:ind w:left="319"/>
              <w:rPr>
                <w:sz w:val="21"/>
                <w:szCs w:val="21"/>
              </w:rPr>
            </w:pPr>
            <w:r>
              <w:rPr>
                <w:color w:val="606050"/>
                <w:sz w:val="21"/>
                <w:szCs w:val="21"/>
              </w:rPr>
              <w:t>3</w:t>
            </w:r>
          </w:p>
        </w:tc>
        <w:tc>
          <w:tcPr>
            <w:tcW w:w="951" w:type="dxa"/>
            <w:vAlign w:val="top"/>
          </w:tcPr>
          <w:p w14:paraId="0D08E5F8">
            <w:pPr>
              <w:rPr>
                <w:rFonts w:ascii="Arial"/>
                <w:sz w:val="21"/>
                <w:szCs w:val="21"/>
              </w:rPr>
            </w:pPr>
          </w:p>
        </w:tc>
      </w:tr>
      <w:tr w14:paraId="16408A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3" w:hRule="atLeast"/>
        </w:trPr>
        <w:tc>
          <w:tcPr>
            <w:tcW w:w="764" w:type="dxa"/>
            <w:vMerge w:val="continue"/>
            <w:vAlign w:val="top"/>
          </w:tcPr>
          <w:p w14:paraId="5E642B95">
            <w:pPr>
              <w:rPr>
                <w:rFonts w:ascii="Arial"/>
                <w:sz w:val="21"/>
                <w:szCs w:val="21"/>
              </w:rPr>
            </w:pPr>
          </w:p>
        </w:tc>
        <w:tc>
          <w:tcPr>
            <w:tcW w:w="869" w:type="dxa"/>
            <w:vMerge w:val="continue"/>
            <w:tcBorders>
              <w:top w:val="nil"/>
            </w:tcBorders>
            <w:vAlign w:val="center"/>
          </w:tcPr>
          <w:p w14:paraId="3DBE2BA4">
            <w:pPr>
              <w:jc w:val="center"/>
              <w:rPr>
                <w:rFonts w:ascii="Arial"/>
                <w:sz w:val="21"/>
                <w:szCs w:val="21"/>
              </w:rPr>
            </w:pPr>
          </w:p>
        </w:tc>
        <w:tc>
          <w:tcPr>
            <w:tcW w:w="5963" w:type="dxa"/>
            <w:vAlign w:val="center"/>
          </w:tcPr>
          <w:p w14:paraId="57C6890C">
            <w:pPr>
              <w:pStyle w:val="11"/>
              <w:spacing w:before="47" w:line="201" w:lineRule="auto"/>
              <w:ind w:left="32"/>
              <w:jc w:val="center"/>
              <w:rPr>
                <w:sz w:val="21"/>
                <w:szCs w:val="21"/>
              </w:rPr>
            </w:pPr>
            <w:r>
              <w:rPr>
                <w:spacing w:val="1"/>
                <w:sz w:val="21"/>
                <w:szCs w:val="21"/>
              </w:rPr>
              <w:t>灯具干净整洁、无锈蚀、无变形，不符合的</w:t>
            </w:r>
            <w:r>
              <w:rPr>
                <w:sz w:val="21"/>
                <w:szCs w:val="21"/>
              </w:rPr>
              <w:t>每处扣0.5</w:t>
            </w:r>
            <w:r>
              <w:rPr>
                <w:color w:val="404050"/>
                <w:sz w:val="21"/>
                <w:szCs w:val="21"/>
              </w:rPr>
              <w:t>分</w:t>
            </w:r>
          </w:p>
        </w:tc>
        <w:tc>
          <w:tcPr>
            <w:tcW w:w="712" w:type="dxa"/>
            <w:vAlign w:val="top"/>
          </w:tcPr>
          <w:p w14:paraId="629A7FF2">
            <w:pPr>
              <w:pStyle w:val="11"/>
              <w:spacing w:before="223"/>
              <w:ind w:left="319"/>
              <w:rPr>
                <w:sz w:val="21"/>
                <w:szCs w:val="21"/>
              </w:rPr>
            </w:pPr>
            <w:r>
              <w:rPr>
                <w:color w:val="505050"/>
                <w:sz w:val="21"/>
                <w:szCs w:val="21"/>
              </w:rPr>
              <w:t>3</w:t>
            </w:r>
          </w:p>
        </w:tc>
        <w:tc>
          <w:tcPr>
            <w:tcW w:w="951" w:type="dxa"/>
            <w:vAlign w:val="top"/>
          </w:tcPr>
          <w:p w14:paraId="6ADE395B">
            <w:pPr>
              <w:rPr>
                <w:rFonts w:ascii="Arial"/>
                <w:sz w:val="21"/>
                <w:szCs w:val="21"/>
              </w:rPr>
            </w:pPr>
          </w:p>
        </w:tc>
      </w:tr>
      <w:tr w14:paraId="5B8781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3" w:hRule="atLeast"/>
        </w:trPr>
        <w:tc>
          <w:tcPr>
            <w:tcW w:w="764" w:type="dxa"/>
            <w:vMerge w:val="continue"/>
            <w:vAlign w:val="top"/>
          </w:tcPr>
          <w:p w14:paraId="106AEE11">
            <w:pPr>
              <w:rPr>
                <w:rFonts w:ascii="Arial"/>
                <w:sz w:val="21"/>
                <w:szCs w:val="21"/>
              </w:rPr>
            </w:pPr>
          </w:p>
        </w:tc>
        <w:tc>
          <w:tcPr>
            <w:tcW w:w="869" w:type="dxa"/>
            <w:vAlign w:val="center"/>
          </w:tcPr>
          <w:p w14:paraId="7C4D0083">
            <w:pPr>
              <w:pStyle w:val="11"/>
              <w:spacing w:before="80" w:line="219" w:lineRule="auto"/>
              <w:jc w:val="center"/>
              <w:rPr>
                <w:sz w:val="21"/>
                <w:szCs w:val="21"/>
              </w:rPr>
            </w:pPr>
            <w:r>
              <w:rPr>
                <w:spacing w:val="5"/>
                <w:sz w:val="21"/>
                <w:szCs w:val="21"/>
              </w:rPr>
              <w:t>持证</w:t>
            </w:r>
            <w:r>
              <w:rPr>
                <w:spacing w:val="14"/>
                <w:sz w:val="21"/>
                <w:szCs w:val="21"/>
              </w:rPr>
              <w:t>上岗</w:t>
            </w:r>
          </w:p>
        </w:tc>
        <w:tc>
          <w:tcPr>
            <w:tcW w:w="5963" w:type="dxa"/>
            <w:vAlign w:val="center"/>
          </w:tcPr>
          <w:p w14:paraId="07CA929C">
            <w:pPr>
              <w:pStyle w:val="11"/>
              <w:spacing w:before="80" w:line="219" w:lineRule="auto"/>
              <w:jc w:val="center"/>
              <w:rPr>
                <w:sz w:val="21"/>
                <w:szCs w:val="21"/>
              </w:rPr>
            </w:pPr>
            <w:r>
              <w:rPr>
                <w:spacing w:val="-1"/>
                <w:sz w:val="21"/>
                <w:szCs w:val="21"/>
              </w:rPr>
              <w:t>特种作业维护作业人员未持证上岗，发现一人扣3分</w:t>
            </w:r>
          </w:p>
        </w:tc>
        <w:tc>
          <w:tcPr>
            <w:tcW w:w="712" w:type="dxa"/>
            <w:vAlign w:val="top"/>
          </w:tcPr>
          <w:p w14:paraId="064E2929">
            <w:pPr>
              <w:pStyle w:val="11"/>
              <w:spacing w:before="104" w:line="207" w:lineRule="auto"/>
              <w:ind w:left="319"/>
              <w:rPr>
                <w:sz w:val="21"/>
                <w:szCs w:val="21"/>
              </w:rPr>
            </w:pPr>
            <w:r>
              <w:rPr>
                <w:color w:val="606050"/>
                <w:sz w:val="21"/>
                <w:szCs w:val="21"/>
              </w:rPr>
              <w:t>3</w:t>
            </w:r>
          </w:p>
        </w:tc>
        <w:tc>
          <w:tcPr>
            <w:tcW w:w="951" w:type="dxa"/>
            <w:vAlign w:val="top"/>
          </w:tcPr>
          <w:p w14:paraId="0D48BA32">
            <w:pPr>
              <w:rPr>
                <w:rFonts w:ascii="Arial"/>
                <w:sz w:val="21"/>
                <w:szCs w:val="21"/>
              </w:rPr>
            </w:pPr>
          </w:p>
        </w:tc>
      </w:tr>
      <w:tr w14:paraId="4F9AA0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3" w:hRule="atLeast"/>
        </w:trPr>
        <w:tc>
          <w:tcPr>
            <w:tcW w:w="764" w:type="dxa"/>
            <w:vMerge w:val="continue"/>
            <w:vAlign w:val="top"/>
          </w:tcPr>
          <w:p w14:paraId="563F20BA">
            <w:pPr>
              <w:rPr>
                <w:rFonts w:ascii="Arial"/>
                <w:sz w:val="21"/>
                <w:szCs w:val="21"/>
              </w:rPr>
            </w:pPr>
          </w:p>
        </w:tc>
        <w:tc>
          <w:tcPr>
            <w:tcW w:w="869" w:type="dxa"/>
            <w:vMerge w:val="restart"/>
            <w:vAlign w:val="center"/>
          </w:tcPr>
          <w:p w14:paraId="65AE134D">
            <w:pPr>
              <w:pStyle w:val="11"/>
              <w:spacing w:before="292" w:line="219" w:lineRule="auto"/>
              <w:jc w:val="center"/>
              <w:rPr>
                <w:spacing w:val="5"/>
                <w:sz w:val="21"/>
                <w:szCs w:val="21"/>
              </w:rPr>
            </w:pPr>
            <w:r>
              <w:rPr>
                <w:color w:val="505050"/>
                <w:spacing w:val="5"/>
                <w:sz w:val="21"/>
                <w:szCs w:val="21"/>
              </w:rPr>
              <w:t>故障</w:t>
            </w:r>
            <w:r>
              <w:rPr>
                <w:spacing w:val="4"/>
                <w:sz w:val="21"/>
                <w:szCs w:val="21"/>
              </w:rPr>
              <w:t>处置</w:t>
            </w:r>
            <w:r>
              <w:rPr>
                <w:spacing w:val="7"/>
                <w:sz w:val="21"/>
                <w:szCs w:val="21"/>
              </w:rPr>
              <w:t>及时</w:t>
            </w:r>
            <w:r>
              <w:rPr>
                <w:sz w:val="21"/>
                <w:szCs w:val="21"/>
              </w:rPr>
              <w:t xml:space="preserve"> 率</w:t>
            </w:r>
          </w:p>
        </w:tc>
        <w:tc>
          <w:tcPr>
            <w:tcW w:w="5963" w:type="dxa"/>
            <w:vAlign w:val="center"/>
          </w:tcPr>
          <w:p w14:paraId="5C709271">
            <w:pPr>
              <w:pStyle w:val="11"/>
              <w:spacing w:before="60" w:line="202" w:lineRule="auto"/>
              <w:ind w:left="2612" w:leftChars="0" w:right="97" w:rightChars="0" w:hanging="2500" w:firstLineChars="0"/>
              <w:jc w:val="center"/>
              <w:rPr>
                <w:spacing w:val="-1"/>
                <w:sz w:val="21"/>
                <w:szCs w:val="21"/>
              </w:rPr>
            </w:pPr>
            <w:r>
              <w:rPr>
                <w:sz w:val="21"/>
                <w:szCs w:val="21"/>
              </w:rPr>
              <w:t>单灯不亮，配电箱门未关闭上锁等一般故障，24小时</w:t>
            </w:r>
            <w:r>
              <w:rPr>
                <w:spacing w:val="3"/>
                <w:sz w:val="21"/>
                <w:szCs w:val="21"/>
              </w:rPr>
              <w:t>内修复</w:t>
            </w:r>
          </w:p>
        </w:tc>
        <w:tc>
          <w:tcPr>
            <w:tcW w:w="712" w:type="dxa"/>
            <w:vAlign w:val="top"/>
          </w:tcPr>
          <w:p w14:paraId="397399CF">
            <w:pPr>
              <w:pStyle w:val="11"/>
              <w:spacing w:before="104" w:line="207" w:lineRule="auto"/>
              <w:ind w:left="319"/>
              <w:rPr>
                <w:rFonts w:hint="eastAsia" w:eastAsia="仿宋"/>
                <w:color w:val="606050"/>
                <w:sz w:val="21"/>
                <w:szCs w:val="21"/>
                <w:lang w:val="en-US" w:eastAsia="zh-CN"/>
              </w:rPr>
            </w:pPr>
            <w:r>
              <w:rPr>
                <w:rFonts w:hint="eastAsia"/>
                <w:color w:val="606050"/>
                <w:sz w:val="21"/>
                <w:szCs w:val="21"/>
                <w:lang w:val="en-US" w:eastAsia="zh-CN"/>
              </w:rPr>
              <w:t>4</w:t>
            </w:r>
          </w:p>
        </w:tc>
        <w:tc>
          <w:tcPr>
            <w:tcW w:w="951" w:type="dxa"/>
            <w:vAlign w:val="top"/>
          </w:tcPr>
          <w:p w14:paraId="40C678BA">
            <w:pPr>
              <w:rPr>
                <w:rFonts w:ascii="Arial"/>
                <w:sz w:val="21"/>
                <w:szCs w:val="21"/>
              </w:rPr>
            </w:pPr>
          </w:p>
        </w:tc>
      </w:tr>
      <w:tr w14:paraId="04618F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3" w:hRule="atLeast"/>
        </w:trPr>
        <w:tc>
          <w:tcPr>
            <w:tcW w:w="764" w:type="dxa"/>
            <w:vMerge w:val="continue"/>
            <w:vAlign w:val="top"/>
          </w:tcPr>
          <w:p w14:paraId="165495B1">
            <w:pPr>
              <w:rPr>
                <w:rFonts w:ascii="Arial"/>
                <w:sz w:val="21"/>
                <w:szCs w:val="21"/>
              </w:rPr>
            </w:pPr>
          </w:p>
        </w:tc>
        <w:tc>
          <w:tcPr>
            <w:tcW w:w="869" w:type="dxa"/>
            <w:vMerge w:val="continue"/>
            <w:vAlign w:val="top"/>
          </w:tcPr>
          <w:p w14:paraId="16423A33">
            <w:pPr>
              <w:pStyle w:val="11"/>
              <w:spacing w:before="80" w:line="219" w:lineRule="auto"/>
              <w:ind w:left="171"/>
              <w:rPr>
                <w:spacing w:val="5"/>
                <w:sz w:val="21"/>
                <w:szCs w:val="21"/>
              </w:rPr>
            </w:pPr>
          </w:p>
        </w:tc>
        <w:tc>
          <w:tcPr>
            <w:tcW w:w="5963" w:type="dxa"/>
            <w:vAlign w:val="center"/>
          </w:tcPr>
          <w:p w14:paraId="6D75BD75">
            <w:pPr>
              <w:pStyle w:val="11"/>
              <w:spacing w:before="104" w:line="219" w:lineRule="auto"/>
              <w:ind w:left="232" w:leftChars="0"/>
              <w:jc w:val="center"/>
              <w:rPr>
                <w:spacing w:val="-1"/>
                <w:sz w:val="21"/>
                <w:szCs w:val="21"/>
              </w:rPr>
            </w:pPr>
            <w:r>
              <w:rPr>
                <w:sz w:val="21"/>
                <w:szCs w:val="21"/>
              </w:rPr>
              <w:t>一般电缆故障导致范围性灭灯故障，24小时内修复</w:t>
            </w:r>
          </w:p>
        </w:tc>
        <w:tc>
          <w:tcPr>
            <w:tcW w:w="712" w:type="dxa"/>
            <w:vAlign w:val="top"/>
          </w:tcPr>
          <w:p w14:paraId="2D8C1191">
            <w:pPr>
              <w:pStyle w:val="11"/>
              <w:spacing w:before="104" w:line="207" w:lineRule="auto"/>
              <w:ind w:left="319"/>
              <w:rPr>
                <w:rFonts w:hint="eastAsia" w:eastAsia="仿宋"/>
                <w:color w:val="606050"/>
                <w:sz w:val="21"/>
                <w:szCs w:val="21"/>
                <w:lang w:val="en-US" w:eastAsia="zh-CN"/>
              </w:rPr>
            </w:pPr>
            <w:r>
              <w:rPr>
                <w:rFonts w:hint="eastAsia"/>
                <w:color w:val="606050"/>
                <w:sz w:val="21"/>
                <w:szCs w:val="21"/>
                <w:lang w:val="en-US" w:eastAsia="zh-CN"/>
              </w:rPr>
              <w:t>4</w:t>
            </w:r>
          </w:p>
        </w:tc>
        <w:tc>
          <w:tcPr>
            <w:tcW w:w="951" w:type="dxa"/>
            <w:vAlign w:val="top"/>
          </w:tcPr>
          <w:p w14:paraId="60F561B1">
            <w:pPr>
              <w:rPr>
                <w:rFonts w:ascii="Arial"/>
                <w:sz w:val="21"/>
                <w:szCs w:val="21"/>
              </w:rPr>
            </w:pPr>
          </w:p>
        </w:tc>
      </w:tr>
      <w:tr w14:paraId="79F6BC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3" w:hRule="atLeast"/>
        </w:trPr>
        <w:tc>
          <w:tcPr>
            <w:tcW w:w="764" w:type="dxa"/>
            <w:vMerge w:val="continue"/>
            <w:tcBorders>
              <w:bottom w:val="single" w:color="auto" w:sz="4" w:space="0"/>
            </w:tcBorders>
            <w:vAlign w:val="top"/>
          </w:tcPr>
          <w:p w14:paraId="14973FBA">
            <w:pPr>
              <w:rPr>
                <w:rFonts w:ascii="Arial"/>
                <w:sz w:val="21"/>
                <w:szCs w:val="21"/>
              </w:rPr>
            </w:pPr>
          </w:p>
        </w:tc>
        <w:tc>
          <w:tcPr>
            <w:tcW w:w="869" w:type="dxa"/>
            <w:vMerge w:val="continue"/>
            <w:tcBorders>
              <w:bottom w:val="single" w:color="auto" w:sz="4" w:space="0"/>
            </w:tcBorders>
            <w:vAlign w:val="top"/>
          </w:tcPr>
          <w:p w14:paraId="5BAD97A5">
            <w:pPr>
              <w:pStyle w:val="11"/>
              <w:spacing w:before="80" w:line="219" w:lineRule="auto"/>
              <w:ind w:left="171"/>
              <w:rPr>
                <w:spacing w:val="5"/>
                <w:sz w:val="21"/>
                <w:szCs w:val="21"/>
              </w:rPr>
            </w:pPr>
          </w:p>
        </w:tc>
        <w:tc>
          <w:tcPr>
            <w:tcW w:w="5963" w:type="dxa"/>
            <w:tcBorders>
              <w:bottom w:val="single" w:color="auto" w:sz="4" w:space="0"/>
            </w:tcBorders>
            <w:vAlign w:val="center"/>
          </w:tcPr>
          <w:p w14:paraId="0163995C">
            <w:pPr>
              <w:pStyle w:val="11"/>
              <w:spacing w:before="64" w:line="223" w:lineRule="auto"/>
              <w:ind w:left="1112" w:leftChars="0" w:right="39" w:rightChars="0" w:hanging="1070" w:firstLineChars="0"/>
              <w:jc w:val="center"/>
              <w:rPr>
                <w:spacing w:val="-1"/>
                <w:sz w:val="21"/>
                <w:szCs w:val="21"/>
              </w:rPr>
            </w:pPr>
            <w:r>
              <w:rPr>
                <w:sz w:val="21"/>
                <w:szCs w:val="21"/>
              </w:rPr>
              <w:t>系统性故障和重大故障，应在2小时内到达现场，采取临时措施亮灯，同步开展连续抢修</w:t>
            </w:r>
          </w:p>
        </w:tc>
        <w:tc>
          <w:tcPr>
            <w:tcW w:w="712" w:type="dxa"/>
            <w:vAlign w:val="top"/>
          </w:tcPr>
          <w:p w14:paraId="5FDEAE4F">
            <w:pPr>
              <w:pStyle w:val="11"/>
              <w:spacing w:before="104" w:line="207" w:lineRule="auto"/>
              <w:ind w:left="319"/>
              <w:rPr>
                <w:rFonts w:hint="default" w:eastAsia="仿宋"/>
                <w:color w:val="606050"/>
                <w:sz w:val="21"/>
                <w:szCs w:val="21"/>
                <w:lang w:val="en-US" w:eastAsia="zh-CN"/>
              </w:rPr>
            </w:pPr>
            <w:r>
              <w:rPr>
                <w:rFonts w:hint="eastAsia"/>
                <w:color w:val="606050"/>
                <w:sz w:val="21"/>
                <w:szCs w:val="21"/>
                <w:lang w:val="en-US" w:eastAsia="zh-CN"/>
              </w:rPr>
              <w:t>3</w:t>
            </w:r>
          </w:p>
        </w:tc>
        <w:tc>
          <w:tcPr>
            <w:tcW w:w="951" w:type="dxa"/>
            <w:vAlign w:val="top"/>
          </w:tcPr>
          <w:p w14:paraId="339C43E3">
            <w:pPr>
              <w:rPr>
                <w:rFonts w:ascii="Arial"/>
                <w:sz w:val="21"/>
                <w:szCs w:val="21"/>
              </w:rPr>
            </w:pPr>
          </w:p>
        </w:tc>
      </w:tr>
      <w:tr w14:paraId="0B7DF6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596" w:type="dxa"/>
            <w:gridSpan w:val="3"/>
            <w:tcBorders>
              <w:top w:val="single" w:color="auto" w:sz="4" w:space="0"/>
            </w:tcBorders>
            <w:vAlign w:val="top"/>
          </w:tcPr>
          <w:p w14:paraId="3A259B0F">
            <w:pPr>
              <w:pStyle w:val="11"/>
              <w:spacing w:before="108" w:line="219" w:lineRule="auto"/>
              <w:rPr>
                <w:sz w:val="21"/>
                <w:szCs w:val="21"/>
              </w:rPr>
            </w:pPr>
            <w:r>
              <w:rPr>
                <w:sz w:val="21"/>
                <w:szCs w:val="21"/>
              </w:rPr>
              <w:t>考核人签字：</w:t>
            </w:r>
          </w:p>
          <w:p w14:paraId="47E97413">
            <w:pPr>
              <w:pStyle w:val="11"/>
              <w:spacing w:before="64" w:line="223" w:lineRule="auto"/>
              <w:ind w:left="1112" w:leftChars="0" w:right="39" w:rightChars="0" w:hanging="1070" w:firstLineChars="0"/>
              <w:rPr>
                <w:sz w:val="21"/>
                <w:szCs w:val="21"/>
              </w:rPr>
            </w:pPr>
            <w:r>
              <w:rPr>
                <w:sz w:val="21"/>
                <w:szCs w:val="21"/>
              </w:rPr>
              <w:t>被考核单位签字：</w:t>
            </w:r>
          </w:p>
        </w:tc>
        <w:tc>
          <w:tcPr>
            <w:tcW w:w="712" w:type="dxa"/>
            <w:shd w:val="clear" w:color="auto" w:fill="auto"/>
            <w:vAlign w:val="top"/>
          </w:tcPr>
          <w:p w14:paraId="48DB1ABC">
            <w:pPr>
              <w:pStyle w:val="11"/>
              <w:spacing w:before="272"/>
              <w:ind w:left="188" w:leftChars="0"/>
              <w:rPr>
                <w:rFonts w:ascii="仿宋" w:hAnsi="仿宋" w:eastAsia="仿宋" w:cs="仿宋"/>
                <w:snapToGrid w:val="0"/>
                <w:color w:val="000000"/>
                <w:kern w:val="0"/>
                <w:sz w:val="21"/>
                <w:szCs w:val="21"/>
                <w:lang w:val="en-US" w:eastAsia="en-US" w:bidi="ar-SA"/>
              </w:rPr>
            </w:pPr>
            <w:r>
              <w:rPr>
                <w:spacing w:val="-7"/>
                <w:sz w:val="21"/>
                <w:szCs w:val="21"/>
              </w:rPr>
              <w:t>100</w:t>
            </w:r>
          </w:p>
        </w:tc>
        <w:tc>
          <w:tcPr>
            <w:tcW w:w="951" w:type="dxa"/>
            <w:shd w:val="clear" w:color="auto" w:fill="auto"/>
            <w:vAlign w:val="top"/>
          </w:tcPr>
          <w:p w14:paraId="44723754">
            <w:pPr>
              <w:pStyle w:val="11"/>
              <w:spacing w:before="248" w:line="219" w:lineRule="auto"/>
              <w:ind w:left="89" w:leftChars="0"/>
              <w:rPr>
                <w:rFonts w:ascii="仿宋" w:hAnsi="仿宋" w:eastAsia="仿宋" w:cs="仿宋"/>
                <w:snapToGrid w:val="0"/>
                <w:color w:val="000000"/>
                <w:kern w:val="0"/>
                <w:sz w:val="21"/>
                <w:szCs w:val="21"/>
                <w:lang w:val="en-US" w:eastAsia="en-US" w:bidi="ar-SA"/>
              </w:rPr>
            </w:pPr>
            <w:r>
              <w:rPr>
                <w:spacing w:val="-2"/>
                <w:sz w:val="21"/>
                <w:szCs w:val="21"/>
              </w:rPr>
              <w:t>得分：</w:t>
            </w:r>
          </w:p>
        </w:tc>
      </w:tr>
    </w:tbl>
    <w:p w14:paraId="3D0D35E8">
      <w:pPr>
        <w:keepNext w:val="0"/>
        <w:keepLines w:val="0"/>
        <w:pageBreakBefore w:val="0"/>
        <w:widowControl/>
        <w:kinsoku w:val="0"/>
        <w:wordWrap/>
        <w:overflowPunct/>
        <w:topLinePunct w:val="0"/>
        <w:autoSpaceDE w:val="0"/>
        <w:autoSpaceDN w:val="0"/>
        <w:bidi w:val="0"/>
        <w:adjustRightInd w:val="0"/>
        <w:snapToGrid w:val="0"/>
        <w:spacing w:line="360" w:lineRule="auto"/>
        <w:ind w:right="0"/>
        <w:textAlignment w:val="baseline"/>
        <w:rPr>
          <w:rFonts w:hint="eastAsia" w:ascii="仿宋" w:hAnsi="仿宋" w:eastAsia="仿宋" w:cs="仿宋"/>
          <w:spacing w:val="3"/>
          <w:sz w:val="24"/>
          <w:szCs w:val="24"/>
        </w:rPr>
      </w:pPr>
    </w:p>
    <w:sectPr>
      <w:footerReference r:id="rId9" w:type="default"/>
      <w:pgSz w:w="11906" w:h="16838"/>
      <w:pgMar w:top="1417" w:right="1417" w:bottom="1417" w:left="1417" w:header="851" w:footer="992" w:gutter="0"/>
      <w:pgBorders w:offsetFrom="page">
        <w:top w:val="none" w:sz="0" w:space="0"/>
        <w:left w:val="none" w:sz="0" w:space="0"/>
        <w:bottom w:val="none" w:sz="0" w:space="0"/>
        <w:right w:val="none" w:sz="0" w:space="0"/>
      </w:pgBorders>
      <w:pgNumType w:fmt="decimal" w:start="1"/>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B32FA4">
    <w:pPr>
      <w:spacing w:line="172" w:lineRule="auto"/>
      <w:ind w:left="4680"/>
      <w:rPr>
        <w:rFonts w:ascii="Times New Roman" w:hAnsi="Times New Roman" w:eastAsia="Times New Roman" w:cs="Times New Roman"/>
        <w:sz w:val="13"/>
        <w:szCs w:val="13"/>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423674">
    <w:pPr>
      <w:spacing w:line="172" w:lineRule="auto"/>
      <w:ind w:left="4670"/>
      <w:rPr>
        <w:rFonts w:ascii="Times New Roman" w:hAnsi="Times New Roman" w:eastAsia="Times New Roman" w:cs="Times New Roman"/>
        <w:sz w:val="13"/>
        <w:szCs w:val="13"/>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F581D9">
    <w:pPr>
      <w:spacing w:line="174" w:lineRule="auto"/>
      <w:ind w:left="4680"/>
      <w:rPr>
        <w:rFonts w:ascii="Times New Roman" w:hAnsi="Times New Roman" w:eastAsia="Times New Roman" w:cs="Times New Roman"/>
        <w:sz w:val="15"/>
        <w:szCs w:val="15"/>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D4B4B5">
    <w:pPr>
      <w:spacing w:line="174" w:lineRule="auto"/>
      <w:ind w:left="4670"/>
      <w:rPr>
        <w:rFonts w:ascii="Times New Roman" w:hAnsi="Times New Roman" w:eastAsia="Times New Roman" w:cs="Times New Roman"/>
        <w:sz w:val="15"/>
        <w:szCs w:val="15"/>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913B08">
    <w:pPr>
      <w:spacing w:line="169" w:lineRule="auto"/>
      <w:ind w:left="4670"/>
      <w:rPr>
        <w:rFonts w:ascii="Times New Roman" w:hAnsi="Times New Roman" w:eastAsia="Times New Roman" w:cs="Times New Roman"/>
        <w:sz w:val="13"/>
        <w:szCs w:val="13"/>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AD75612"/>
    <w:multiLevelType w:val="singleLevel"/>
    <w:tmpl w:val="BAD75612"/>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9137632"/>
    <w:rsid w:val="02083734"/>
    <w:rsid w:val="03853825"/>
    <w:rsid w:val="04C57553"/>
    <w:rsid w:val="09137632"/>
    <w:rsid w:val="0A0F32D0"/>
    <w:rsid w:val="0A8A6877"/>
    <w:rsid w:val="0C451D85"/>
    <w:rsid w:val="143817D9"/>
    <w:rsid w:val="185C19CA"/>
    <w:rsid w:val="190C271A"/>
    <w:rsid w:val="19CC7A95"/>
    <w:rsid w:val="1ABD1E09"/>
    <w:rsid w:val="1D374756"/>
    <w:rsid w:val="20475A85"/>
    <w:rsid w:val="205757F8"/>
    <w:rsid w:val="22484013"/>
    <w:rsid w:val="273406EE"/>
    <w:rsid w:val="30E05EEC"/>
    <w:rsid w:val="337A6A07"/>
    <w:rsid w:val="38390ED6"/>
    <w:rsid w:val="3B32682C"/>
    <w:rsid w:val="3B3B0FC4"/>
    <w:rsid w:val="3B7A36A8"/>
    <w:rsid w:val="3C2271FE"/>
    <w:rsid w:val="3C5502C0"/>
    <w:rsid w:val="40507FBE"/>
    <w:rsid w:val="40966483"/>
    <w:rsid w:val="41AF3C77"/>
    <w:rsid w:val="42F3335A"/>
    <w:rsid w:val="43681322"/>
    <w:rsid w:val="464637EE"/>
    <w:rsid w:val="46492779"/>
    <w:rsid w:val="47AD1587"/>
    <w:rsid w:val="4ADE3846"/>
    <w:rsid w:val="502519D0"/>
    <w:rsid w:val="51FC0F67"/>
    <w:rsid w:val="54785067"/>
    <w:rsid w:val="57C3202A"/>
    <w:rsid w:val="5A751B1A"/>
    <w:rsid w:val="5AAF3B8C"/>
    <w:rsid w:val="5C757B02"/>
    <w:rsid w:val="5FB659E0"/>
    <w:rsid w:val="60624AC3"/>
    <w:rsid w:val="63CB6220"/>
    <w:rsid w:val="64340531"/>
    <w:rsid w:val="68A67E74"/>
    <w:rsid w:val="6D972E0C"/>
    <w:rsid w:val="74F975D7"/>
    <w:rsid w:val="75CF61EC"/>
    <w:rsid w:val="77D95C83"/>
    <w:rsid w:val="7F5313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1"/>
    <w:qFormat/>
    <w:uiPriority w:val="0"/>
    <w:pPr>
      <w:keepNext/>
      <w:keepLines/>
      <w:spacing w:beforeLines="0" w:beforeAutospacing="0" w:afterLines="0" w:afterAutospacing="0" w:line="360" w:lineRule="auto"/>
      <w:jc w:val="center"/>
      <w:outlineLvl w:val="0"/>
    </w:pPr>
    <w:rPr>
      <w:rFonts w:ascii="Arial" w:hAnsi="Arial" w:eastAsia="仿宋"/>
      <w:b/>
      <w:kern w:val="44"/>
      <w:sz w:val="40"/>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w:basedOn w:val="1"/>
    <w:semiHidden/>
    <w:qFormat/>
    <w:uiPriority w:val="0"/>
    <w:rPr>
      <w:rFonts w:ascii="仿宋" w:hAnsi="仿宋" w:eastAsia="仿宋" w:cs="仿宋"/>
      <w:sz w:val="18"/>
      <w:szCs w:val="18"/>
      <w:lang w:val="en-US" w:eastAsia="en-US" w:bidi="ar-SA"/>
    </w:rPr>
  </w:style>
  <w:style w:type="paragraph" w:styleId="4">
    <w:name w:val="Body Text Indent"/>
    <w:basedOn w:val="1"/>
    <w:qFormat/>
    <w:uiPriority w:val="0"/>
    <w:pPr>
      <w:spacing w:after="120"/>
      <w:ind w:left="420" w:leftChars="200"/>
    </w:p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99"/>
    <w:pPr>
      <w:widowControl/>
      <w:spacing w:before="100" w:beforeLines="0" w:beforeAutospacing="1" w:after="100" w:afterLines="0" w:afterAutospacing="1"/>
      <w:jc w:val="left"/>
    </w:pPr>
    <w:rPr>
      <w:rFonts w:ascii="宋体" w:hAnsi="宋体" w:cs="宋体"/>
      <w:kern w:val="0"/>
      <w:sz w:val="24"/>
      <w:szCs w:val="24"/>
    </w:rPr>
  </w:style>
  <w:style w:type="paragraph" w:styleId="7">
    <w:name w:val="Body Text First Indent 2"/>
    <w:basedOn w:val="4"/>
    <w:qFormat/>
    <w:uiPriority w:val="0"/>
    <w:pPr>
      <w:ind w:firstLine="420" w:firstLineChars="200"/>
    </w:p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Table Text"/>
    <w:basedOn w:val="1"/>
    <w:semiHidden/>
    <w:qFormat/>
    <w:uiPriority w:val="0"/>
    <w:rPr>
      <w:rFonts w:ascii="仿宋" w:hAnsi="仿宋" w:eastAsia="仿宋" w:cs="仿宋"/>
      <w:sz w:val="24"/>
      <w:szCs w:val="24"/>
      <w:lang w:val="en-US" w:eastAsia="en-US" w:bidi="ar-SA"/>
    </w:rPr>
  </w:style>
  <w:style w:type="table" w:customStyle="1" w:styleId="12">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潮州市直及下属单位</Company>
  <Pages>12</Pages>
  <Words>5544</Words>
  <Characters>5677</Characters>
  <Lines>0</Lines>
  <Paragraphs>0</Paragraphs>
  <TotalTime>1</TotalTime>
  <ScaleCrop>false</ScaleCrop>
  <LinksUpToDate>false</LinksUpToDate>
  <CharactersWithSpaces>5962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2024-12-02T09:49:00Z</dcterms:created>
  <dc:creator>貳話不說就是幹</dc:creator>
  <cp:lastModifiedBy>张静</cp:lastModifiedBy>
  <dcterms:modified xsi:type="dcterms:W3CDTF">2025-05-21T01:14:58Z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F324728246ED4557926540F326169443_11</vt:lpwstr>
  </property>
  <property fmtid="{D5CDD505-2E9C-101B-9397-08002B2CF9AE}" pid="4" name="KSOTemplateDocerSaveRecord">
    <vt:lpwstr>eyJoZGlkIjoiZDg3MGVlMjAwZWVjNzYzZTdmY2JiMGY0ZGVkMjBhNzgiLCJ1c2VySWQiOiIyNTg0OTc0MDcifQ==</vt:lpwstr>
  </property>
</Properties>
</file>