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版本号：WHYDCD-2025-05-00120250522002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2025年耀州区分布式光伏逆变器数据采集器升级改造项目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WHYDCD-2025-05-001</w:t>
      </w:r>
      <w:r>
        <w:br/>
      </w:r>
      <w:r>
        <w:br/>
      </w:r>
      <w:r>
        <w:br/>
      </w:r>
    </w:p>
    <w:p>
      <w:pPr>
        <w:pStyle w:val="null3"/>
        <w:jc w:val="center"/>
        <w:outlineLvl w:val="2"/>
      </w:pPr>
      <w:r>
        <w:rPr>
          <w:rFonts w:ascii="仿宋_GB2312" w:hAnsi="仿宋_GB2312" w:cs="仿宋_GB2312" w:eastAsia="仿宋_GB2312"/>
          <w:sz w:val="28"/>
          <w:b/>
        </w:rPr>
        <w:t>铜川市耀州区农业农村局</w:t>
      </w:r>
    </w:p>
    <w:p>
      <w:pPr>
        <w:pStyle w:val="null3"/>
        <w:jc w:val="center"/>
        <w:outlineLvl w:val="2"/>
      </w:pPr>
      <w:r>
        <w:rPr>
          <w:rFonts w:ascii="仿宋_GB2312" w:hAnsi="仿宋_GB2312" w:cs="仿宋_GB2312" w:eastAsia="仿宋_GB2312"/>
          <w:sz w:val="28"/>
          <w:b/>
        </w:rPr>
        <w:t>陕西文徽煜德项目管理有限公司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陕西文徽煜德项目管理有限公司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2025年耀州区分布式光伏逆变器数据采集器升级改造项目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WHYDCD-2025-05-001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2025年耀州区分布式光伏逆变器数据采集器升级改造项目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（关于2025年耀州区分布式光伏逆变器数据采集器升级改造项目）：采购包预算金额：570,000.00元。 采购包最高限价：570,000.00元。 采购内容： 1批 （740台）光伏逆变器数据采集器，技术规格、参数及要求：详见采购文件。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采购包1（2025年耀州区分布式光伏逆变器数据采集器升级改造项目）：属于专门面向中小企业采购。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 或事业单位法人证书等国家 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3、财务状况报告：提供2023年或2024年度经审计的财务报告（包括三表一注，成立时间至提交响应文件截止时间不足一年的可提供成立后任意时段的资产负债表)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 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w:t>
      </w:r>
    </w:p>
    <w:p>
      <w:pPr>
        <w:pStyle w:val="null3"/>
      </w:pPr>
      <w:r>
        <w:rPr>
          <w:rFonts w:ascii="仿宋_GB2312" w:hAnsi="仿宋_GB2312" w:cs="仿宋_GB2312" w:eastAsia="仿宋_GB2312"/>
        </w:rPr>
        <w:t>7、企业信誉声明：供应商应具备良好的商业信誉，提供参加政府采购活动前3年内在经营活动中没有重大违法记录的书面声明。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8、信用中国：未在“信用中国” 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10、本项目不接受联合体投标：本项目不接受联合体投标 （提供书面声明材料）。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铜川市耀州区锦阳新城综合楼10楼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岳武平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0919-6180068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陕西文徽煜德项目管理有限公司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陕西省铜川市新区大耀城东区1单元2702室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0919-2133888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代理服务费收费标准：按照陕西省网上中介服务超市本项目选取通知书金额：人民币8000.00元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陕西文徽煜德项目管理有限公司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铜川市耀州区农业农村局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陕西文徽煜德项目管理有限公司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陕西文徽煜德项目管理有限公司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联系电话：0919-2133888</w:t>
      </w:r>
    </w:p>
    <w:p>
      <w:pPr>
        <w:pStyle w:val="null3"/>
      </w:pPr>
      <w:r>
        <w:rPr>
          <w:rFonts w:ascii="仿宋_GB2312" w:hAnsi="仿宋_GB2312" w:cs="仿宋_GB2312" w:eastAsia="仿宋_GB2312"/>
        </w:rPr>
        <w:t>地址：陕西省铜川市新区大耀城东区一单元2702室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购置并安装光伏逆变器数据采集器740台。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光伏逆变器数据采集器</w:t>
            </w:r>
          </w:p>
        </w:tc>
        <w:tc>
          <w:tcPr>
            <w:tcW w:type="dxa" w:w="831"/>
          </w:tcPr>
          <w:p>
            <w:pPr>
              <w:pStyle w:val="null3"/>
              <w:jc w:val="right"/>
            </w:pPr>
            <w:r>
              <w:rPr>
                <w:rFonts w:ascii="仿宋_GB2312" w:hAnsi="仿宋_GB2312" w:cs="仿宋_GB2312" w:eastAsia="仿宋_GB2312"/>
              </w:rPr>
              <w:t>740.00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标的名称：光伏逆变器数据采集器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输入电压220V,逆变输出效率＞90%，逆变输出频率50-60，电压范围180V-230V,与原有设备匹配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合同签订后60个日历日内完成货物的配送、交付、安装调试及验收。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安装调试，项目最终验收合格后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验收交付标准：性能参数符合输入电压220V,逆变输出效率＞90%，逆变输出频率50-60，电压范围180V-230V,与原有设备匹配，要求必须是4g网络，且支持与国家光伏扶贫检测中心平台的数据对接等。 方法：查看产品说明书、合格证或检验报告等文件；设备外观无损坏，标识清晰；用通讯测试工具检查通信是否正常，数据传输是否准确稳定。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保修范围：正常运行功能、电器连接、外观质量。 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1）向甲方所在地有管辖权的人民法院提起诉讼；（2）向铜川仲裁委员会按其仲裁规则依法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⑴供应商负责拆除旧采集器:做好线缆标记，记录各线缆的连接位置和顺序，使用合适工具小心拆除采集器与逆变器、通信线路、电源等的连接线缆，依次拆除采集器的电源线、信号线、通讯线等连接线，将旧采集器从逆变器中取出，按采购人要求妥善放置。 ⑵货物安装完成后，应对货物进行调试、测试，并安排专业人员对采购人进行培训，并提供售后服务。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 或事业单位法人证书等国家 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 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 （提供书面声明材料）。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 整性和响应程度进行审查。出现下列情况之一 （但不限于）不得进入评审环节：（1）响应文 件未按照竞采购文件的要求编写；（2）响应文件未按采购文件要求签字、盖章；（3）供 应商的投标报价超过采购预算或最高限价的； （4）无投标有效期或有效期达不到采购文件要求的；（5）响应文件未实质性响应采购文件要 求的；（6）响应文件附加了采购人难以接受的条件或条款的； （7）不符合法律、法规和采购 文件中规定的其他实质性要求的。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实施方案.docx 采购供应商拒绝政府采购领域商业贿赂承诺书1.docx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详见附件：采购供应商拒绝政府采购领域商业贿赂承诺书1.docx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