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DA1D5">
      <w:pPr>
        <w:keepNext w:val="0"/>
        <w:keepLines w:val="0"/>
        <w:pageBreakBefore w:val="0"/>
        <w:tabs>
          <w:tab w:val="left" w:pos="735"/>
        </w:tabs>
        <w:kinsoku/>
        <w:wordWrap/>
        <w:overflowPunct/>
        <w:topLinePunct w:val="0"/>
        <w:autoSpaceDE w:val="0"/>
        <w:autoSpaceDN w:val="0"/>
        <w:bidi w:val="0"/>
        <w:adjustRightInd w:val="0"/>
        <w:snapToGrid w:val="0"/>
        <w:spacing w:before="312" w:beforeLines="100" w:line="420" w:lineRule="exact"/>
        <w:ind w:firstLine="629"/>
        <w:jc w:val="center"/>
        <w:rPr>
          <w:rFonts w:eastAsia="仿宋"/>
          <w:b/>
          <w:bCs/>
          <w:sz w:val="24"/>
          <w:lang w:val="zh-CN"/>
        </w:rPr>
      </w:pPr>
      <w:r>
        <w:rPr>
          <w:rFonts w:hint="eastAsia" w:ascii="仿宋" w:hAnsi="仿宋" w:eastAsia="仿宋" w:cs="仿宋"/>
          <w:b/>
          <w:color w:val="000000"/>
          <w:sz w:val="32"/>
          <w:szCs w:val="32"/>
        </w:rPr>
        <w:t>政府采购货物购销合同</w:t>
      </w:r>
    </w:p>
    <w:p w14:paraId="23DCA65D">
      <w:pPr>
        <w:keepNext w:val="0"/>
        <w:keepLines w:val="0"/>
        <w:pageBreakBefore w:val="0"/>
        <w:tabs>
          <w:tab w:val="left" w:pos="735"/>
        </w:tabs>
        <w:kinsoku/>
        <w:wordWrap/>
        <w:overflowPunct/>
        <w:topLinePunct w:val="0"/>
        <w:autoSpaceDE w:val="0"/>
        <w:autoSpaceDN w:val="0"/>
        <w:bidi w:val="0"/>
        <w:adjustRightInd w:val="0"/>
        <w:snapToGrid w:val="0"/>
        <w:spacing w:before="312" w:beforeLines="100" w:line="420" w:lineRule="exact"/>
        <w:ind w:firstLine="629"/>
        <w:rPr>
          <w:rFonts w:eastAsia="仿宋"/>
          <w:b/>
          <w:bCs/>
          <w:sz w:val="24"/>
          <w:lang w:val="zh-CN"/>
        </w:rPr>
      </w:pPr>
      <w:r>
        <w:rPr>
          <w:rFonts w:eastAsia="仿宋"/>
          <w:b/>
          <w:bCs/>
          <w:sz w:val="24"/>
          <w:lang w:val="zh-CN"/>
        </w:rPr>
        <w:t>甲方：</w:t>
      </w:r>
      <w:r>
        <w:rPr>
          <w:rFonts w:eastAsia="仿宋"/>
          <w:bCs/>
          <w:sz w:val="24"/>
          <w:lang w:val="zh-CN"/>
        </w:rPr>
        <w:t>（前款所称采购人）     住所：</w:t>
      </w:r>
    </w:p>
    <w:p w14:paraId="36D9E914">
      <w:pPr>
        <w:keepNext w:val="0"/>
        <w:keepLines w:val="0"/>
        <w:pageBreakBefore w:val="0"/>
        <w:tabs>
          <w:tab w:val="left" w:pos="735"/>
        </w:tabs>
        <w:kinsoku/>
        <w:wordWrap/>
        <w:overflowPunct/>
        <w:topLinePunct w:val="0"/>
        <w:autoSpaceDE w:val="0"/>
        <w:autoSpaceDN w:val="0"/>
        <w:bidi w:val="0"/>
        <w:adjustRightInd w:val="0"/>
        <w:snapToGrid w:val="0"/>
        <w:spacing w:line="420" w:lineRule="exact"/>
        <w:ind w:firstLine="631"/>
        <w:rPr>
          <w:rFonts w:eastAsia="仿宋"/>
          <w:bCs/>
          <w:sz w:val="24"/>
          <w:lang w:val="zh-CN"/>
        </w:rPr>
      </w:pPr>
      <w:r>
        <w:rPr>
          <w:rFonts w:eastAsia="仿宋"/>
          <w:b/>
          <w:bCs/>
          <w:sz w:val="24"/>
          <w:lang w:val="zh-CN"/>
        </w:rPr>
        <w:t>乙方：</w:t>
      </w:r>
      <w:r>
        <w:rPr>
          <w:rFonts w:eastAsia="仿宋"/>
          <w:bCs/>
          <w:sz w:val="24"/>
          <w:lang w:val="zh-CN"/>
        </w:rPr>
        <w:t>（前款所称中标人）     住所：</w:t>
      </w:r>
    </w:p>
    <w:p w14:paraId="4CEBBE5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一、合同内容（标的、数量、质量等）:</w:t>
      </w:r>
    </w:p>
    <w:p w14:paraId="40804E6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二、合同价款</w:t>
      </w:r>
    </w:p>
    <w:p w14:paraId="63A1E52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1、合同总价：</w:t>
      </w:r>
    </w:p>
    <w:p w14:paraId="1E81673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2、合同总价包括：</w:t>
      </w:r>
    </w:p>
    <w:p w14:paraId="60D3B1D2">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3、合同总价一次包死，不受市场价变化的影响。</w:t>
      </w:r>
    </w:p>
    <w:p w14:paraId="4530F8E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三、合同结算</w:t>
      </w:r>
    </w:p>
    <w:p w14:paraId="10273D27">
      <w:pPr>
        <w:keepNext w:val="0"/>
        <w:keepLines w:val="0"/>
        <w:pageBreakBefore w:val="0"/>
        <w:kinsoku/>
        <w:wordWrap/>
        <w:overflowPunct/>
        <w:topLinePunct w:val="0"/>
        <w:bidi w:val="0"/>
        <w:adjustRightInd w:val="0"/>
        <w:snapToGrid w:val="0"/>
        <w:spacing w:line="420" w:lineRule="exact"/>
        <w:ind w:left="1986" w:leftChars="200" w:hanging="1566" w:hangingChars="650"/>
        <w:rPr>
          <w:rFonts w:eastAsia="仿宋"/>
          <w:b/>
          <w:sz w:val="24"/>
        </w:rPr>
      </w:pPr>
      <w:r>
        <w:rPr>
          <w:rFonts w:eastAsia="仿宋"/>
          <w:b/>
          <w:sz w:val="24"/>
        </w:rPr>
        <w:t>1、付款比例：</w:t>
      </w:r>
    </w:p>
    <w:p w14:paraId="6E2DABDB">
      <w:pPr>
        <w:keepNext w:val="0"/>
        <w:keepLines w:val="0"/>
        <w:pageBreakBefore w:val="0"/>
        <w:kinsoku/>
        <w:wordWrap/>
        <w:overflowPunct/>
        <w:topLinePunct w:val="0"/>
        <w:bidi w:val="0"/>
        <w:adjustRightInd w:val="0"/>
        <w:snapToGrid w:val="0"/>
        <w:spacing w:line="420" w:lineRule="exact"/>
        <w:ind w:firstLine="468" w:firstLineChars="195"/>
        <w:rPr>
          <w:rFonts w:hint="eastAsia" w:eastAsia="仿宋"/>
          <w:sz w:val="24"/>
        </w:rPr>
      </w:pPr>
      <w:r>
        <w:rPr>
          <w:rFonts w:hint="eastAsia" w:eastAsia="仿宋"/>
          <w:sz w:val="24"/>
        </w:rPr>
        <w:t>1、合同签订后30天内，甲方向乙方支付合同总价款40%作为预付款，乙方需提供相关收款依据。</w:t>
      </w:r>
    </w:p>
    <w:p w14:paraId="408A2EF8">
      <w:pPr>
        <w:keepNext w:val="0"/>
        <w:keepLines w:val="0"/>
        <w:pageBreakBefore w:val="0"/>
        <w:kinsoku/>
        <w:wordWrap/>
        <w:overflowPunct/>
        <w:topLinePunct w:val="0"/>
        <w:bidi w:val="0"/>
        <w:adjustRightInd w:val="0"/>
        <w:snapToGrid w:val="0"/>
        <w:spacing w:line="420" w:lineRule="exact"/>
        <w:ind w:firstLine="468" w:firstLineChars="195"/>
        <w:rPr>
          <w:rFonts w:eastAsia="仿宋"/>
          <w:sz w:val="24"/>
        </w:rPr>
      </w:pPr>
      <w:r>
        <w:rPr>
          <w:rFonts w:hint="eastAsia" w:eastAsia="仿宋"/>
          <w:sz w:val="24"/>
        </w:rPr>
        <w:t>2、乙方须按其投标文件中响应的交货期按时交货并提供全额合规发票保证“货票同行”，到达甲方指定地点，安装、调试完毕并验收合格后，甲方30天内支付合同总价款的60%。</w:t>
      </w:r>
    </w:p>
    <w:p w14:paraId="072F9A2E">
      <w:pPr>
        <w:keepNext w:val="0"/>
        <w:keepLines w:val="0"/>
        <w:pageBreakBefore w:val="0"/>
        <w:kinsoku/>
        <w:wordWrap/>
        <w:overflowPunct/>
        <w:topLinePunct w:val="0"/>
        <w:bidi w:val="0"/>
        <w:adjustRightInd w:val="0"/>
        <w:snapToGrid w:val="0"/>
        <w:spacing w:line="420" w:lineRule="exact"/>
        <w:ind w:firstLine="468" w:firstLineChars="195"/>
        <w:rPr>
          <w:rFonts w:eastAsia="仿宋"/>
          <w:sz w:val="24"/>
        </w:rPr>
      </w:pPr>
      <w:r>
        <w:rPr>
          <w:rFonts w:eastAsia="仿宋"/>
          <w:sz w:val="24"/>
        </w:rPr>
        <w:t>2、结算方式：银行转账。</w:t>
      </w:r>
    </w:p>
    <w:p w14:paraId="1CED52DC">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3、结算单位：由</w:t>
      </w:r>
      <w:r>
        <w:rPr>
          <w:rFonts w:eastAsia="仿宋"/>
          <w:sz w:val="24"/>
          <w:u w:val="single"/>
        </w:rPr>
        <w:t xml:space="preserve">         </w:t>
      </w:r>
      <w:r>
        <w:rPr>
          <w:rFonts w:eastAsia="仿宋"/>
          <w:sz w:val="24"/>
        </w:rPr>
        <w:t>负责结算，乙方开具合同总价数的全额发票交采购人。</w:t>
      </w:r>
    </w:p>
    <w:p w14:paraId="406AE6E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四、履行期限、地点及方式:</w:t>
      </w:r>
    </w:p>
    <w:p w14:paraId="43F3F262">
      <w:pPr>
        <w:keepNext w:val="0"/>
        <w:keepLines w:val="0"/>
        <w:pageBreakBefore w:val="0"/>
        <w:kinsoku/>
        <w:wordWrap/>
        <w:overflowPunct/>
        <w:topLinePunct w:val="0"/>
        <w:bidi w:val="0"/>
        <w:adjustRightInd w:val="0"/>
        <w:snapToGrid w:val="0"/>
        <w:spacing w:line="420" w:lineRule="exact"/>
        <w:ind w:firstLine="482" w:firstLineChars="200"/>
        <w:rPr>
          <w:rFonts w:hint="default" w:eastAsia="仿宋"/>
          <w:b/>
          <w:sz w:val="24"/>
          <w:lang w:val="en-US" w:eastAsia="zh-CN"/>
        </w:rPr>
      </w:pPr>
      <w:r>
        <w:rPr>
          <w:rFonts w:eastAsia="仿宋"/>
          <w:b/>
          <w:sz w:val="24"/>
        </w:rPr>
        <w:t>1、履行期限（交货期）：</w:t>
      </w:r>
      <w:r>
        <w:rPr>
          <w:rFonts w:hint="eastAsia" w:eastAsia="仿宋"/>
          <w:b/>
          <w:sz w:val="24"/>
        </w:rPr>
        <w:t>合同签订后60个日历日内完成货物的配送、交付、安装调试及验收。</w:t>
      </w:r>
    </w:p>
    <w:p w14:paraId="728B0434">
      <w:pPr>
        <w:keepNext w:val="0"/>
        <w:keepLines w:val="0"/>
        <w:pageBreakBefore w:val="0"/>
        <w:kinsoku/>
        <w:wordWrap/>
        <w:overflowPunct/>
        <w:topLinePunct w:val="0"/>
        <w:bidi w:val="0"/>
        <w:adjustRightInd w:val="0"/>
        <w:snapToGrid w:val="0"/>
        <w:spacing w:line="420" w:lineRule="exact"/>
        <w:ind w:firstLine="482" w:firstLineChars="200"/>
        <w:rPr>
          <w:rFonts w:eastAsia="仿宋"/>
          <w:b/>
          <w:sz w:val="24"/>
        </w:rPr>
      </w:pPr>
      <w:r>
        <w:rPr>
          <w:rFonts w:eastAsia="仿宋"/>
          <w:b/>
          <w:sz w:val="24"/>
        </w:rPr>
        <w:t>2、交货地点：</w:t>
      </w:r>
      <w:r>
        <w:rPr>
          <w:rFonts w:hint="eastAsia" w:eastAsia="仿宋"/>
          <w:b/>
          <w:sz w:val="24"/>
        </w:rPr>
        <w:t>采购人</w:t>
      </w:r>
      <w:r>
        <w:rPr>
          <w:rFonts w:eastAsia="仿宋"/>
          <w:b/>
          <w:sz w:val="24"/>
        </w:rPr>
        <w:t>指定地点</w:t>
      </w:r>
    </w:p>
    <w:p w14:paraId="72E76C22">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3、方式：符合招标文件及投标文件要求</w:t>
      </w:r>
    </w:p>
    <w:p w14:paraId="4123BF3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五、运输</w:t>
      </w:r>
    </w:p>
    <w:p w14:paraId="0A684F4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1、乙方负责所有货物的运输。确保货物安全、完整到达使用地点，运杂费用包含在总价内，包括货物从供货地点到使用地点的运输费、保险费、搬运费等。</w:t>
      </w:r>
    </w:p>
    <w:p w14:paraId="0886E704">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2、所有货物在运输、搬运、安装的过程中，造成甲方损失的，由乙方为甲方修复或更新。</w:t>
      </w:r>
    </w:p>
    <w:p w14:paraId="12F37E11">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六、质量保证</w:t>
      </w:r>
    </w:p>
    <w:p w14:paraId="3D04E9CD">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1、乙方提供货物必须是原品牌制造厂制造的最新工艺、生产的最新产品。</w:t>
      </w:r>
    </w:p>
    <w:p w14:paraId="0F15E38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2、所供货物必须是经过办理正常手续的全新产品。</w:t>
      </w:r>
    </w:p>
    <w:p w14:paraId="2710CA0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3、所供货物是经过国家法定检验、注册、准许市场销售的合法产品。</w:t>
      </w:r>
    </w:p>
    <w:p w14:paraId="4BC29FD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4、货物性能稳定、具有较好的使用效果，质量保证措施完善，符合国家相关标准。</w:t>
      </w:r>
    </w:p>
    <w:p w14:paraId="6027E58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5、货物的质保期为验收合</w:t>
      </w:r>
      <w:r>
        <w:rPr>
          <w:rFonts w:ascii="Times New Roman" w:hAnsi="Times New Roman" w:eastAsia="仿宋" w:cs="Times New Roman"/>
          <w:sz w:val="24"/>
        </w:rPr>
        <w:t>格后</w:t>
      </w:r>
      <w:r>
        <w:rPr>
          <w:rFonts w:hint="eastAsia" w:ascii="Times New Roman" w:hAnsi="Times New Roman" w:eastAsia="仿宋" w:cs="Times New Roman"/>
          <w:sz w:val="24"/>
          <w:lang w:val="en-US" w:eastAsia="zh-CN"/>
        </w:rPr>
        <w:t>3年</w:t>
      </w:r>
      <w:r>
        <w:rPr>
          <w:rFonts w:ascii="Times New Roman" w:hAnsi="Times New Roman" w:eastAsia="仿宋" w:cs="Times New Roman"/>
          <w:sz w:val="24"/>
        </w:rPr>
        <w:t>，</w:t>
      </w:r>
      <w:r>
        <w:rPr>
          <w:rFonts w:eastAsia="仿宋"/>
          <w:sz w:val="24"/>
        </w:rPr>
        <w:t>终身维护保养，质保期后，只收取成本费用。</w:t>
      </w:r>
    </w:p>
    <w:p w14:paraId="40EDD7C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6、包装要求</w:t>
      </w:r>
    </w:p>
    <w:p w14:paraId="211F2745">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6-1、除合同另有规定外，乙方提供的全部货物，均应按标准保护措施进行包装，并确保货物安全无损运抵甲方指定地点。</w:t>
      </w:r>
    </w:p>
    <w:p w14:paraId="77C91D2E">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6-2、每一个包装箱内应附一份详细装箱单和质量合格证。</w:t>
      </w:r>
    </w:p>
    <w:p w14:paraId="75E34AF5">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7、乙方应保证甲方在使用该货物或其任何一部分时免受第三方提出侵犯其专利权、商标权或工业设计权的起诉。</w:t>
      </w:r>
    </w:p>
    <w:p w14:paraId="1F70733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七、技术服务</w:t>
      </w:r>
    </w:p>
    <w:p w14:paraId="4765186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1、对技术服务的要求：</w:t>
      </w:r>
    </w:p>
    <w:p w14:paraId="0A7E065D">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2、技术资料：</w:t>
      </w:r>
    </w:p>
    <w:p w14:paraId="7A1E868E">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2-1、产品合格证及检验报告；</w:t>
      </w:r>
    </w:p>
    <w:p w14:paraId="10C0806D">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2-2、产品使用说明书（中文）；</w:t>
      </w:r>
    </w:p>
    <w:p w14:paraId="4EAE6123">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w:t>
      </w:r>
      <w:r>
        <w:rPr>
          <w:rFonts w:hint="eastAsia" w:eastAsia="仿宋"/>
          <w:sz w:val="24"/>
          <w:lang w:val="en-US" w:eastAsia="zh-CN"/>
        </w:rPr>
        <w:t>3</w:t>
      </w:r>
      <w:r>
        <w:rPr>
          <w:rFonts w:eastAsia="仿宋"/>
          <w:sz w:val="24"/>
        </w:rPr>
        <w:t>、其它资料。</w:t>
      </w:r>
    </w:p>
    <w:p w14:paraId="749097E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3、技术培训：</w:t>
      </w:r>
    </w:p>
    <w:p w14:paraId="6372A32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3-1、培训内容：</w:t>
      </w:r>
    </w:p>
    <w:p w14:paraId="18E1B8B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3-2、培训地点：</w:t>
      </w:r>
    </w:p>
    <w:p w14:paraId="3E8C1D34">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3-3、培训时间：</w:t>
      </w:r>
    </w:p>
    <w:p w14:paraId="5D4ADF7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3-4、培训人数：</w:t>
      </w:r>
    </w:p>
    <w:p w14:paraId="3DD9746C">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3-5、培训费用：受训人员的食宿费、资料费、培训场地费、耗材（包括水电费等）费等已包含在合同总价中，甲方不再另行支付。</w:t>
      </w:r>
    </w:p>
    <w:p w14:paraId="26F94EE0">
      <w:pPr>
        <w:keepNext w:val="0"/>
        <w:keepLines w:val="0"/>
        <w:pageBreakBefore w:val="0"/>
        <w:kinsoku/>
        <w:wordWrap/>
        <w:overflowPunct/>
        <w:topLinePunct w:val="0"/>
        <w:bidi w:val="0"/>
        <w:adjustRightInd w:val="0"/>
        <w:snapToGrid w:val="0"/>
        <w:spacing w:line="420" w:lineRule="exact"/>
        <w:ind w:firstLine="480" w:firstLineChars="200"/>
        <w:rPr>
          <w:rFonts w:hint="eastAsia" w:eastAsia="仿宋"/>
          <w:sz w:val="24"/>
        </w:rPr>
      </w:pPr>
      <w:r>
        <w:rPr>
          <w:rFonts w:hint="eastAsia" w:eastAsia="仿宋"/>
          <w:sz w:val="24"/>
        </w:rPr>
        <w:t>3-6、卖方应配置专业技术人员提供现场技术培训，保证使用人员正常操作设备的各种功能；并提供专业知识培训进修。</w:t>
      </w:r>
    </w:p>
    <w:p w14:paraId="0935D88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4、售后服务</w:t>
      </w:r>
    </w:p>
    <w:p w14:paraId="6312F9E8">
      <w:pPr>
        <w:keepNext w:val="0"/>
        <w:keepLines w:val="0"/>
        <w:pageBreakBefore w:val="0"/>
        <w:kinsoku/>
        <w:wordWrap/>
        <w:overflowPunct/>
        <w:topLinePunct w:val="0"/>
        <w:bidi w:val="0"/>
        <w:adjustRightInd w:val="0"/>
        <w:snapToGrid w:val="0"/>
        <w:spacing w:line="420" w:lineRule="exact"/>
        <w:ind w:firstLine="480" w:firstLineChars="200"/>
        <w:rPr>
          <w:rFonts w:hint="eastAsia" w:eastAsia="仿宋"/>
          <w:sz w:val="24"/>
        </w:rPr>
      </w:pPr>
      <w:r>
        <w:rPr>
          <w:rFonts w:eastAsia="仿宋"/>
          <w:sz w:val="24"/>
        </w:rPr>
        <w:t>4-1、</w:t>
      </w:r>
      <w:r>
        <w:rPr>
          <w:rFonts w:hint="eastAsia" w:eastAsia="仿宋"/>
          <w:sz w:val="24"/>
        </w:rPr>
        <w:t>响应时间:提供7x24小时售后热线，确保客户在遇到问题时能及时联系到售后人员，对于紧急问题，在接到通知后3小时内响应。</w:t>
      </w:r>
    </w:p>
    <w:p w14:paraId="1B79F7ED">
      <w:pPr>
        <w:keepNext w:val="0"/>
        <w:keepLines w:val="0"/>
        <w:pageBreakBefore w:val="0"/>
        <w:kinsoku/>
        <w:wordWrap/>
        <w:overflowPunct/>
        <w:topLinePunct w:val="0"/>
        <w:bidi w:val="0"/>
        <w:adjustRightInd w:val="0"/>
        <w:snapToGrid w:val="0"/>
        <w:spacing w:line="420" w:lineRule="exact"/>
        <w:ind w:firstLine="480" w:firstLineChars="200"/>
        <w:rPr>
          <w:rFonts w:hint="eastAsia" w:eastAsia="仿宋"/>
          <w:sz w:val="24"/>
        </w:rPr>
      </w:pPr>
      <w:r>
        <w:rPr>
          <w:rFonts w:hint="eastAsia" w:eastAsia="仿宋"/>
          <w:sz w:val="24"/>
          <w:lang w:val="en-US" w:eastAsia="zh-CN"/>
        </w:rPr>
        <w:t>4-2</w:t>
      </w:r>
      <w:r>
        <w:rPr>
          <w:rFonts w:hint="eastAsia" w:eastAsia="仿宋"/>
          <w:sz w:val="24"/>
        </w:rPr>
        <w:t>远程支持:通过电话、网络等方式为客户提供远程技术支持，指导客户进行简单的故障排查和处理，</w:t>
      </w:r>
    </w:p>
    <w:p w14:paraId="0CF121D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lang w:val="en-US" w:eastAsia="zh-CN"/>
        </w:rPr>
        <w:t>4-3</w:t>
      </w:r>
      <w:r>
        <w:rPr>
          <w:rFonts w:hint="eastAsia" w:eastAsia="仿宋"/>
          <w:sz w:val="24"/>
        </w:rPr>
        <w:t>现场维修:若远程支持无法解决问题，根据客户需求和现场情况，安排维修人员携带所需工具和备件前往现场维修，尽快恢复设备正常运行</w:t>
      </w:r>
      <w:r>
        <w:rPr>
          <w:rFonts w:eastAsia="仿宋"/>
          <w:sz w:val="24"/>
        </w:rPr>
        <w:t>，若需将产品送回生产厂，乙方应提供备用机、承担维修产品所需的往返费用。</w:t>
      </w:r>
    </w:p>
    <w:p w14:paraId="58FCD431">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4-</w:t>
      </w:r>
      <w:r>
        <w:rPr>
          <w:rFonts w:hint="eastAsia" w:eastAsia="仿宋"/>
          <w:sz w:val="24"/>
          <w:lang w:val="en-US" w:eastAsia="zh-CN"/>
        </w:rPr>
        <w:t>4</w:t>
      </w:r>
      <w:r>
        <w:rPr>
          <w:rFonts w:eastAsia="仿宋"/>
          <w:sz w:val="24"/>
        </w:rPr>
        <w:t>、如果乙方在收到通知后两天内没有弥补缺陷，甲方可采取必要的补救措施，但其风险和费用将由乙方承担，甲方根据合同规定对乙方行使的其它权力不受影响。甲方亦可从质保金中扣回索赔金额。</w:t>
      </w:r>
    </w:p>
    <w:p w14:paraId="6EDE4789">
      <w:pPr>
        <w:keepNext w:val="0"/>
        <w:keepLines w:val="0"/>
        <w:pageBreakBefore w:val="0"/>
        <w:kinsoku/>
        <w:wordWrap/>
        <w:overflowPunct/>
        <w:topLinePunct w:val="0"/>
        <w:bidi w:val="0"/>
        <w:adjustRightInd w:val="0"/>
        <w:snapToGrid w:val="0"/>
        <w:spacing w:line="420" w:lineRule="exact"/>
        <w:ind w:firstLine="480" w:firstLineChars="200"/>
        <w:rPr>
          <w:rFonts w:hint="eastAsia" w:ascii="Times New Roman" w:hAnsi="Times New Roman" w:eastAsia="仿宋" w:cs="Times New Roman"/>
          <w:sz w:val="24"/>
          <w:lang w:val="en-US" w:eastAsia="zh-CN"/>
        </w:rPr>
      </w:pPr>
      <w:r>
        <w:rPr>
          <w:rFonts w:hint="eastAsia" w:ascii="Times New Roman" w:hAnsi="Times New Roman" w:eastAsia="仿宋" w:cs="Times New Roman"/>
          <w:sz w:val="24"/>
          <w:lang w:val="en-US" w:eastAsia="zh-CN"/>
        </w:rPr>
        <w:t>4-</w:t>
      </w:r>
      <w:r>
        <w:rPr>
          <w:rFonts w:hint="eastAsia" w:eastAsia="仿宋" w:cs="Times New Roman"/>
          <w:sz w:val="24"/>
          <w:lang w:val="en-US" w:eastAsia="zh-CN"/>
        </w:rPr>
        <w:t>5</w:t>
      </w:r>
      <w:r>
        <w:rPr>
          <w:rFonts w:hint="eastAsia" w:ascii="Times New Roman" w:hAnsi="Times New Roman" w:eastAsia="仿宋" w:cs="Times New Roman"/>
          <w:sz w:val="24"/>
          <w:lang w:val="en-US" w:eastAsia="zh-CN"/>
        </w:rPr>
        <w:t>.系统免费升级。</w:t>
      </w:r>
    </w:p>
    <w:p w14:paraId="58CA1AE7">
      <w:pPr>
        <w:keepNext w:val="0"/>
        <w:keepLines w:val="0"/>
        <w:pageBreakBefore w:val="0"/>
        <w:kinsoku/>
        <w:wordWrap/>
        <w:overflowPunct/>
        <w:topLinePunct w:val="0"/>
        <w:bidi w:val="0"/>
        <w:adjustRightInd w:val="0"/>
        <w:snapToGrid w:val="0"/>
        <w:spacing w:line="420" w:lineRule="exact"/>
        <w:ind w:firstLine="480" w:firstLineChars="200"/>
        <w:rPr>
          <w:rFonts w:hint="eastAsia" w:ascii="Times New Roman" w:hAnsi="Times New Roman" w:eastAsia="仿宋" w:cs="Times New Roman"/>
          <w:sz w:val="24"/>
        </w:rPr>
      </w:pPr>
      <w:r>
        <w:rPr>
          <w:rFonts w:hint="eastAsia" w:ascii="Times New Roman" w:hAnsi="Times New Roman" w:eastAsia="仿宋" w:cs="Times New Roman"/>
          <w:sz w:val="24"/>
          <w:lang w:val="en-US" w:eastAsia="zh-CN"/>
        </w:rPr>
        <w:t>4-</w:t>
      </w:r>
      <w:r>
        <w:rPr>
          <w:rFonts w:hint="eastAsia" w:eastAsia="仿宋" w:cs="Times New Roman"/>
          <w:sz w:val="24"/>
          <w:lang w:val="en-US" w:eastAsia="zh-CN"/>
        </w:rPr>
        <w:t>6</w:t>
      </w:r>
      <w:r>
        <w:rPr>
          <w:rFonts w:hint="eastAsia" w:ascii="Times New Roman" w:hAnsi="Times New Roman" w:eastAsia="仿宋" w:cs="Times New Roman"/>
          <w:sz w:val="24"/>
          <w:lang w:val="en-US" w:eastAsia="zh-CN"/>
        </w:rPr>
        <w:t>.</w:t>
      </w:r>
      <w:r>
        <w:rPr>
          <w:rFonts w:hint="eastAsia" w:ascii="Times New Roman" w:hAnsi="Times New Roman" w:eastAsia="仿宋" w:cs="Times New Roman"/>
          <w:sz w:val="24"/>
        </w:rPr>
        <w:t>有专门授权的售后服务机构或维修服务商，确保售后维护维修服务质量。</w:t>
      </w:r>
    </w:p>
    <w:p w14:paraId="7B45DBAF">
      <w:pPr>
        <w:keepNext w:val="0"/>
        <w:keepLines w:val="0"/>
        <w:pageBreakBefore w:val="0"/>
        <w:kinsoku/>
        <w:wordWrap/>
        <w:overflowPunct/>
        <w:topLinePunct w:val="0"/>
        <w:bidi w:val="0"/>
        <w:adjustRightInd w:val="0"/>
        <w:snapToGrid w:val="0"/>
        <w:spacing w:line="420" w:lineRule="exact"/>
        <w:ind w:firstLine="480" w:firstLineChars="200"/>
        <w:rPr>
          <w:rFonts w:hint="eastAsia" w:ascii="Times New Roman" w:hAnsi="Times New Roman" w:eastAsia="仿宋" w:cs="Times New Roman"/>
          <w:sz w:val="24"/>
          <w:lang w:val="en-US" w:eastAsia="zh-CN"/>
        </w:rPr>
      </w:pPr>
      <w:r>
        <w:rPr>
          <w:rFonts w:hint="eastAsia" w:ascii="Times New Roman" w:hAnsi="Times New Roman" w:eastAsia="仿宋" w:cs="Times New Roman"/>
          <w:sz w:val="24"/>
          <w:lang w:val="en-US" w:eastAsia="zh-CN"/>
        </w:rPr>
        <w:t>4-</w:t>
      </w:r>
      <w:r>
        <w:rPr>
          <w:rFonts w:hint="eastAsia" w:eastAsia="仿宋" w:cs="Times New Roman"/>
          <w:sz w:val="24"/>
          <w:lang w:val="en-US" w:eastAsia="zh-CN"/>
        </w:rPr>
        <w:t>7</w:t>
      </w:r>
      <w:r>
        <w:rPr>
          <w:rFonts w:hint="eastAsia" w:ascii="Times New Roman" w:hAnsi="Times New Roman" w:eastAsia="仿宋" w:cs="Times New Roman"/>
          <w:sz w:val="24"/>
          <w:lang w:val="en-US" w:eastAsia="zh-CN"/>
        </w:rPr>
        <w:t>.卖方应配置专业技术人员提供现场培训，保证使用人员正常操作设备的各种功能。</w:t>
      </w:r>
    </w:p>
    <w:p w14:paraId="5C491999">
      <w:pPr>
        <w:keepNext w:val="0"/>
        <w:keepLines w:val="0"/>
        <w:pageBreakBefore w:val="0"/>
        <w:kinsoku/>
        <w:wordWrap/>
        <w:overflowPunct/>
        <w:topLinePunct w:val="0"/>
        <w:bidi w:val="0"/>
        <w:adjustRightInd w:val="0"/>
        <w:snapToGrid w:val="0"/>
        <w:spacing w:line="420" w:lineRule="exact"/>
        <w:ind w:firstLine="480" w:firstLineChars="200"/>
        <w:rPr>
          <w:rFonts w:ascii="Times New Roman" w:hAnsi="Times New Roman" w:eastAsia="仿宋" w:cs="Times New Roman"/>
          <w:sz w:val="24"/>
        </w:rPr>
      </w:pPr>
      <w:r>
        <w:rPr>
          <w:rFonts w:hint="eastAsia" w:ascii="Times New Roman" w:hAnsi="Times New Roman" w:eastAsia="仿宋" w:cs="Times New Roman"/>
          <w:sz w:val="24"/>
          <w:lang w:val="en-US" w:eastAsia="zh-CN"/>
        </w:rPr>
        <w:t>4-</w:t>
      </w:r>
      <w:r>
        <w:rPr>
          <w:rFonts w:hint="eastAsia" w:eastAsia="仿宋" w:cs="Times New Roman"/>
          <w:sz w:val="24"/>
          <w:lang w:val="en-US" w:eastAsia="zh-CN"/>
        </w:rPr>
        <w:t>8</w:t>
      </w:r>
      <w:r>
        <w:rPr>
          <w:rFonts w:hint="eastAsia" w:ascii="Times New Roman" w:hAnsi="Times New Roman" w:eastAsia="仿宋" w:cs="Times New Roman"/>
          <w:sz w:val="24"/>
          <w:lang w:val="en-US" w:eastAsia="zh-CN"/>
        </w:rPr>
        <w:t>.提供业务培训及学术交流平台。</w:t>
      </w:r>
    </w:p>
    <w:p w14:paraId="16F0D8A4">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5、伴随服务</w:t>
      </w:r>
    </w:p>
    <w:p w14:paraId="30174741">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5-1、乙方应随同每套货物提供相应的中文的技术文件。</w:t>
      </w:r>
    </w:p>
    <w:p w14:paraId="6F6B705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5-1-1、完整的操作使用手册和维护、修理技术文件，图纸、保修卡等。</w:t>
      </w:r>
    </w:p>
    <w:p w14:paraId="62242DC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5-1-2、制造厂的检验、测试报告、检验合格证书，计量合格等级证书，质量保证书等文件须随产品装箱提供。</w:t>
      </w:r>
    </w:p>
    <w:p w14:paraId="05977A37">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5-1-3、必须的其它技术资料。</w:t>
      </w:r>
    </w:p>
    <w:p w14:paraId="13FA4F0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5-2、伴随服务的费用已含在合同价中，不单独进行支付。</w:t>
      </w:r>
    </w:p>
    <w:p w14:paraId="2CD6FED3">
      <w:pPr>
        <w:keepNext w:val="0"/>
        <w:keepLines w:val="0"/>
        <w:pageBreakBefore w:val="0"/>
        <w:kinsoku/>
        <w:wordWrap/>
        <w:overflowPunct/>
        <w:topLinePunct w:val="0"/>
        <w:bidi w:val="0"/>
        <w:adjustRightInd w:val="0"/>
        <w:snapToGrid w:val="0"/>
        <w:spacing w:line="420" w:lineRule="exact"/>
        <w:ind w:firstLine="480" w:firstLineChars="200"/>
        <w:rPr>
          <w:rFonts w:hint="eastAsia" w:eastAsia="仿宋"/>
          <w:sz w:val="24"/>
        </w:rPr>
      </w:pPr>
      <w:r>
        <w:rPr>
          <w:rFonts w:hint="eastAsia" w:eastAsia="仿宋"/>
          <w:sz w:val="24"/>
          <w:lang w:val="en-US" w:eastAsia="zh-CN"/>
        </w:rPr>
        <w:t>5-3</w:t>
      </w:r>
      <w:r>
        <w:rPr>
          <w:rFonts w:hint="eastAsia" w:eastAsia="仿宋"/>
          <w:sz w:val="24"/>
        </w:rPr>
        <w:t>备件库存:建立充足的备件库存，确保常见故障所需的备件能够及时供应，定期对备件库存进行盘点和更新，保证备件的质量和可用性</w:t>
      </w:r>
    </w:p>
    <w:p w14:paraId="2FFF4B07">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lang w:val="en-US" w:eastAsia="zh-CN"/>
        </w:rPr>
        <w:t>5-4</w:t>
      </w:r>
      <w:r>
        <w:rPr>
          <w:rFonts w:hint="eastAsia" w:eastAsia="仿宋"/>
          <w:sz w:val="24"/>
        </w:rPr>
        <w:t>备件采购:对于特殊或罕见的备件，建立快速采购渠道与供应商保持良好的合作关系，确保在需要时能及时采购到所需备件。</w:t>
      </w:r>
    </w:p>
    <w:p w14:paraId="39887E2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八、验收</w:t>
      </w:r>
    </w:p>
    <w:p w14:paraId="0CC73FA5">
      <w:pPr>
        <w:keepNext w:val="0"/>
        <w:keepLines w:val="0"/>
        <w:pageBreakBefore w:val="0"/>
        <w:kinsoku/>
        <w:wordWrap/>
        <w:overflowPunct/>
        <w:topLinePunct w:val="0"/>
        <w:bidi w:val="0"/>
        <w:adjustRightInd w:val="0"/>
        <w:snapToGrid w:val="0"/>
        <w:spacing w:line="420" w:lineRule="exact"/>
        <w:ind w:firstLine="480" w:firstLineChars="200"/>
        <w:rPr>
          <w:rFonts w:hint="eastAsia" w:eastAsia="仿宋"/>
          <w:sz w:val="24"/>
        </w:rPr>
      </w:pPr>
      <w:r>
        <w:rPr>
          <w:rFonts w:eastAsia="仿宋"/>
          <w:sz w:val="24"/>
        </w:rPr>
        <w:t>1、到货验收：</w:t>
      </w:r>
      <w:r>
        <w:rPr>
          <w:rFonts w:hint="eastAsia" w:eastAsia="仿宋"/>
          <w:sz w:val="24"/>
        </w:rPr>
        <w:t>卖方应配置多名工程技术人员，随时提供开箱验货、安装、调试或维修等服务。</w:t>
      </w:r>
    </w:p>
    <w:p w14:paraId="1B95436A">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2、</w:t>
      </w:r>
      <w:r>
        <w:rPr>
          <w:rFonts w:eastAsia="仿宋"/>
          <w:sz w:val="24"/>
        </w:rPr>
        <w:t>货物到货后，由甲方与乙方共同进行外观验收，验收内容包括，外包装的完好性，货物品牌、规格、数量及产地与合同要求的一致性。</w:t>
      </w:r>
    </w:p>
    <w:p w14:paraId="48EA50AA">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3</w:t>
      </w:r>
      <w:r>
        <w:rPr>
          <w:rFonts w:eastAsia="仿宋"/>
          <w:sz w:val="24"/>
        </w:rPr>
        <w:t>、货物运行验收：乙方安装调试合格后，向甲方提出验收申请，甲方接到乙方验收申请后组织验收（必要时可聘请相应专家或委托相应部门验收），验收合格后，出具使用验收合格证明。</w:t>
      </w:r>
    </w:p>
    <w:p w14:paraId="6F74898E">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4</w:t>
      </w:r>
      <w:r>
        <w:rPr>
          <w:rFonts w:eastAsia="仿宋"/>
          <w:sz w:val="24"/>
        </w:rPr>
        <w:t>、最终验收：最终验收结果作为付款依据，乙方填写验收单，并向甲方提交实施过程中的所有资料，以便甲方日后管理和维护。</w:t>
      </w:r>
    </w:p>
    <w:p w14:paraId="05EC4DA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5</w:t>
      </w:r>
      <w:r>
        <w:rPr>
          <w:rFonts w:eastAsia="仿宋"/>
          <w:sz w:val="24"/>
        </w:rPr>
        <w:t>、质保期满后：由乙方出具质保期运行质量报告，作为质保金支付依据，若存在质量问题，应按相应规定协商处理。</w:t>
      </w:r>
    </w:p>
    <w:p w14:paraId="10026445">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6</w:t>
      </w:r>
      <w:r>
        <w:rPr>
          <w:rFonts w:eastAsia="仿宋"/>
          <w:sz w:val="24"/>
        </w:rPr>
        <w:t>、验收依据：</w:t>
      </w:r>
    </w:p>
    <w:p w14:paraId="4137CD6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6</w:t>
      </w:r>
      <w:r>
        <w:rPr>
          <w:rFonts w:eastAsia="仿宋"/>
          <w:sz w:val="24"/>
        </w:rPr>
        <w:t>-1、合同文本、合同附件、招标文件、投标文件。</w:t>
      </w:r>
    </w:p>
    <w:p w14:paraId="7B30580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6</w:t>
      </w:r>
      <w:r>
        <w:rPr>
          <w:rFonts w:eastAsia="仿宋"/>
          <w:sz w:val="24"/>
        </w:rPr>
        <w:t>-2、国内相应的标准、规范。</w:t>
      </w:r>
    </w:p>
    <w:p w14:paraId="724C92D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九、违约责任</w:t>
      </w:r>
    </w:p>
    <w:p w14:paraId="3017064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1、按《</w:t>
      </w:r>
      <w:r>
        <w:rPr>
          <w:rFonts w:hint="eastAsia" w:eastAsia="仿宋"/>
          <w:sz w:val="24"/>
        </w:rPr>
        <w:t>民法典</w:t>
      </w:r>
      <w:r>
        <w:rPr>
          <w:rFonts w:eastAsia="仿宋"/>
          <w:sz w:val="24"/>
        </w:rPr>
        <w:t>》中的相关条款执行。</w:t>
      </w:r>
    </w:p>
    <w:p w14:paraId="4187F09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2、乙方履约延误</w:t>
      </w:r>
    </w:p>
    <w:p w14:paraId="1423147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2-1、如乙方事先未征得甲方同意并得到甲方的谅解而单方面延迟交货，将按违约终止合同。</w:t>
      </w:r>
    </w:p>
    <w:p w14:paraId="605E6193">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256AA81">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3、违约终止合同：未按合同要求提供货物或质量不能满足技术要求，甲方会同监督机构有权终止合同，对乙方违约行为进行追究，同时按政府采购法的有关规定进行相应的处罚。</w:t>
      </w:r>
    </w:p>
    <w:p w14:paraId="53678CAC">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十、合同组成</w:t>
      </w:r>
    </w:p>
    <w:p w14:paraId="6D9457CC">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1、中标通知书</w:t>
      </w:r>
    </w:p>
    <w:p w14:paraId="1E19951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2、合同文件</w:t>
      </w:r>
    </w:p>
    <w:p w14:paraId="056913CB">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3、国家相关规范及标准</w:t>
      </w:r>
    </w:p>
    <w:p w14:paraId="65E97E73">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4、供货产品技术规格及参数表</w:t>
      </w:r>
    </w:p>
    <w:p w14:paraId="400F4404">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5、招标文件</w:t>
      </w:r>
    </w:p>
    <w:p w14:paraId="5BE5AE8D">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6、投标文件</w:t>
      </w:r>
    </w:p>
    <w:p w14:paraId="2AA4E7D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十一、解决争议的方法</w:t>
      </w:r>
    </w:p>
    <w:p w14:paraId="73869A88">
      <w:pPr>
        <w:keepNext w:val="0"/>
        <w:keepLines w:val="0"/>
        <w:pageBreakBefore w:val="0"/>
        <w:widowControl/>
        <w:kinsoku/>
        <w:wordWrap/>
        <w:overflowPunct/>
        <w:topLinePunct w:val="0"/>
        <w:autoSpaceDE w:val="0"/>
        <w:autoSpaceDN w:val="0"/>
        <w:bidi w:val="0"/>
        <w:snapToGrid w:val="0"/>
        <w:spacing w:line="420" w:lineRule="exact"/>
        <w:ind w:right="-110" w:firstLine="480" w:firstLineChars="200"/>
        <w:textAlignment w:val="bottom"/>
        <w:rPr>
          <w:rFonts w:eastAsia="仿宋"/>
          <w:kern w:val="0"/>
          <w:sz w:val="24"/>
        </w:rPr>
      </w:pPr>
      <w:r>
        <w:rPr>
          <w:rFonts w:eastAsia="仿宋"/>
          <w:kern w:val="0"/>
          <w:sz w:val="24"/>
        </w:rPr>
        <w:t>凡因本合同引起的或与本合同有关的争议，双方应友好协商解决。协商不成时，双方均同意采用以下第（  ）种争议解决方式：</w:t>
      </w:r>
    </w:p>
    <w:p w14:paraId="3ACBD243">
      <w:pPr>
        <w:keepNext w:val="0"/>
        <w:keepLines w:val="0"/>
        <w:pageBreakBefore w:val="0"/>
        <w:widowControl/>
        <w:kinsoku/>
        <w:wordWrap/>
        <w:overflowPunct/>
        <w:topLinePunct w:val="0"/>
        <w:autoSpaceDE w:val="0"/>
        <w:autoSpaceDN w:val="0"/>
        <w:bidi w:val="0"/>
        <w:snapToGrid w:val="0"/>
        <w:spacing w:line="420" w:lineRule="exact"/>
        <w:ind w:right="-110" w:firstLine="480" w:firstLineChars="200"/>
        <w:textAlignment w:val="bottom"/>
        <w:rPr>
          <w:rFonts w:eastAsia="仿宋"/>
          <w:kern w:val="0"/>
          <w:sz w:val="24"/>
        </w:rPr>
      </w:pPr>
      <w:r>
        <w:rPr>
          <w:rFonts w:eastAsia="仿宋"/>
          <w:kern w:val="0"/>
          <w:sz w:val="24"/>
        </w:rPr>
        <w:t>（1）、甲、乙双方均同意向（甲方所在地人民法院）提起诉讼。</w:t>
      </w:r>
    </w:p>
    <w:p w14:paraId="4AF9DA30">
      <w:pPr>
        <w:keepNext w:val="0"/>
        <w:keepLines w:val="0"/>
        <w:pageBreakBefore w:val="0"/>
        <w:widowControl/>
        <w:kinsoku/>
        <w:wordWrap/>
        <w:overflowPunct/>
        <w:topLinePunct w:val="0"/>
        <w:autoSpaceDE w:val="0"/>
        <w:autoSpaceDN w:val="0"/>
        <w:bidi w:val="0"/>
        <w:snapToGrid w:val="0"/>
        <w:spacing w:line="420" w:lineRule="exact"/>
        <w:ind w:right="-110" w:firstLine="480" w:firstLineChars="200"/>
        <w:textAlignment w:val="bottom"/>
        <w:rPr>
          <w:rFonts w:eastAsia="仿宋"/>
          <w:kern w:val="0"/>
          <w:sz w:val="24"/>
        </w:rPr>
      </w:pPr>
      <w:r>
        <w:rPr>
          <w:rFonts w:eastAsia="仿宋"/>
          <w:kern w:val="0"/>
          <w:sz w:val="24"/>
        </w:rPr>
        <w:t>（2）、甲、乙双方均同意向（</w:t>
      </w:r>
      <w:r>
        <w:rPr>
          <w:rFonts w:eastAsia="仿宋"/>
          <w:kern w:val="0"/>
          <w:sz w:val="24"/>
        </w:rPr>
        <w:fldChar w:fldCharType="begin"/>
      </w:r>
      <w:r>
        <w:rPr>
          <w:rFonts w:eastAsia="仿宋"/>
          <w:kern w:val="0"/>
          <w:sz w:val="24"/>
        </w:rPr>
        <w:instrText xml:space="preserve"> HYPERLINK "http://www.baidu.com/s?wd=%E4%BB%B2%E8%A3%81%E5%A7%94%E5%91%98%E4%BC%9A&amp;tn=SE_PcZhidaonwhc_ngpagmjz&amp;rsv_dl=gh_pc_zhidao" \t "_blank" </w:instrText>
      </w:r>
      <w:r>
        <w:rPr>
          <w:rFonts w:eastAsia="仿宋"/>
          <w:kern w:val="0"/>
          <w:sz w:val="24"/>
        </w:rPr>
        <w:fldChar w:fldCharType="separate"/>
      </w:r>
      <w:r>
        <w:rPr>
          <w:rFonts w:eastAsia="仿宋"/>
          <w:kern w:val="0"/>
          <w:sz w:val="24"/>
        </w:rPr>
        <w:t>仲裁委员会</w:t>
      </w:r>
      <w:r>
        <w:rPr>
          <w:rFonts w:eastAsia="仿宋"/>
          <w:kern w:val="0"/>
          <w:sz w:val="24"/>
        </w:rPr>
        <w:fldChar w:fldCharType="end"/>
      </w:r>
      <w:r>
        <w:rPr>
          <w:rFonts w:eastAsia="仿宋"/>
          <w:kern w:val="0"/>
          <w:sz w:val="24"/>
        </w:rPr>
        <w:t>）提起仲裁。</w:t>
      </w:r>
    </w:p>
    <w:p w14:paraId="6C3EBE42">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十二、合同生效及其它</w:t>
      </w:r>
    </w:p>
    <w:p w14:paraId="15486C4A">
      <w:pPr>
        <w:keepNext w:val="0"/>
        <w:keepLines w:val="0"/>
        <w:pageBreakBefore w:val="0"/>
        <w:widowControl/>
        <w:kinsoku/>
        <w:wordWrap/>
        <w:overflowPunct/>
        <w:topLinePunct w:val="0"/>
        <w:autoSpaceDE w:val="0"/>
        <w:autoSpaceDN w:val="0"/>
        <w:bidi w:val="0"/>
        <w:snapToGrid w:val="0"/>
        <w:spacing w:line="420" w:lineRule="exact"/>
        <w:ind w:right="-110" w:firstLine="480" w:firstLineChars="200"/>
        <w:textAlignment w:val="bottom"/>
        <w:rPr>
          <w:rFonts w:eastAsia="仿宋"/>
          <w:kern w:val="0"/>
          <w:sz w:val="24"/>
        </w:rPr>
      </w:pPr>
      <w:r>
        <w:rPr>
          <w:rFonts w:eastAsia="仿宋"/>
          <w:kern w:val="0"/>
          <w:sz w:val="24"/>
        </w:rPr>
        <w:t>1、合同未尽事宜、由甲、乙双方协商，作为合同补充，与原合同具有同等法律效力。</w:t>
      </w:r>
    </w:p>
    <w:p w14:paraId="06E39A00">
      <w:pPr>
        <w:keepNext w:val="0"/>
        <w:keepLines w:val="0"/>
        <w:pageBreakBefore w:val="0"/>
        <w:widowControl/>
        <w:tabs>
          <w:tab w:val="left" w:pos="8391"/>
        </w:tabs>
        <w:kinsoku/>
        <w:wordWrap/>
        <w:overflowPunct/>
        <w:topLinePunct w:val="0"/>
        <w:autoSpaceDE w:val="0"/>
        <w:autoSpaceDN w:val="0"/>
        <w:bidi w:val="0"/>
        <w:snapToGrid w:val="0"/>
        <w:spacing w:line="420" w:lineRule="exact"/>
        <w:ind w:right="-69" w:firstLine="480" w:firstLineChars="200"/>
        <w:textAlignment w:val="bottom"/>
        <w:rPr>
          <w:rFonts w:eastAsia="仿宋"/>
          <w:kern w:val="0"/>
          <w:sz w:val="24"/>
        </w:rPr>
      </w:pPr>
      <w:r>
        <w:rPr>
          <w:rFonts w:eastAsia="仿宋"/>
          <w:kern w:val="0"/>
          <w:sz w:val="24"/>
        </w:rPr>
        <w:t>2、 本合同正本一式</w:t>
      </w:r>
      <w:r>
        <w:rPr>
          <w:rFonts w:eastAsia="仿宋"/>
          <w:kern w:val="0"/>
          <w:sz w:val="24"/>
          <w:u w:val="single"/>
        </w:rPr>
        <w:t xml:space="preserve">  </w:t>
      </w:r>
      <w:r>
        <w:rPr>
          <w:rFonts w:eastAsia="仿宋"/>
          <w:kern w:val="0"/>
          <w:sz w:val="24"/>
        </w:rPr>
        <w:t>份，甲方、乙方双方分别执</w:t>
      </w:r>
      <w:r>
        <w:rPr>
          <w:rFonts w:eastAsia="仿宋"/>
          <w:kern w:val="0"/>
          <w:sz w:val="24"/>
          <w:u w:val="single"/>
        </w:rPr>
        <w:t xml:space="preserve">  </w:t>
      </w:r>
      <w:r>
        <w:rPr>
          <w:rFonts w:eastAsia="仿宋"/>
          <w:kern w:val="0"/>
          <w:sz w:val="24"/>
        </w:rPr>
        <w:t>份，</w:t>
      </w:r>
      <w:r>
        <w:rPr>
          <w:rFonts w:eastAsia="仿宋"/>
          <w:kern w:val="0"/>
          <w:sz w:val="24"/>
          <w:u w:val="single"/>
        </w:rPr>
        <w:t xml:space="preserve">   </w:t>
      </w:r>
      <w:r>
        <w:rPr>
          <w:rFonts w:eastAsia="仿宋"/>
          <w:kern w:val="0"/>
          <w:sz w:val="24"/>
        </w:rPr>
        <w:t>备案</w:t>
      </w:r>
      <w:r>
        <w:rPr>
          <w:rFonts w:eastAsia="仿宋"/>
          <w:kern w:val="0"/>
          <w:sz w:val="24"/>
          <w:u w:val="single"/>
        </w:rPr>
        <w:t xml:space="preserve">  </w:t>
      </w:r>
      <w:r>
        <w:rPr>
          <w:rFonts w:eastAsia="仿宋"/>
          <w:kern w:val="0"/>
          <w:sz w:val="24"/>
        </w:rPr>
        <w:t>份。</w:t>
      </w:r>
    </w:p>
    <w:p w14:paraId="194A13F7">
      <w:pPr>
        <w:keepNext w:val="0"/>
        <w:keepLines w:val="0"/>
        <w:pageBreakBefore w:val="0"/>
        <w:widowControl/>
        <w:tabs>
          <w:tab w:val="left" w:pos="8391"/>
        </w:tabs>
        <w:kinsoku/>
        <w:wordWrap/>
        <w:overflowPunct/>
        <w:topLinePunct w:val="0"/>
        <w:autoSpaceDE w:val="0"/>
        <w:autoSpaceDN w:val="0"/>
        <w:bidi w:val="0"/>
        <w:snapToGrid w:val="0"/>
        <w:spacing w:line="420" w:lineRule="exact"/>
        <w:ind w:right="-69" w:firstLine="480" w:firstLineChars="200"/>
        <w:textAlignment w:val="bottom"/>
        <w:rPr>
          <w:rFonts w:eastAsia="仿宋"/>
          <w:kern w:val="0"/>
          <w:sz w:val="24"/>
        </w:rPr>
      </w:pPr>
      <w:r>
        <w:rPr>
          <w:rFonts w:eastAsia="仿宋"/>
          <w:kern w:val="0"/>
          <w:sz w:val="24"/>
        </w:rPr>
        <w:t>3、合同经甲乙双方盖章、签字后生效，合同签订地点为</w:t>
      </w:r>
      <w:r>
        <w:rPr>
          <w:rFonts w:eastAsia="仿宋"/>
          <w:kern w:val="0"/>
          <w:sz w:val="24"/>
          <w:u w:val="single"/>
        </w:rPr>
        <w:t xml:space="preserve">   </w:t>
      </w:r>
      <w:r>
        <w:rPr>
          <w:rFonts w:eastAsia="仿宋"/>
          <w:kern w:val="0"/>
          <w:sz w:val="24"/>
        </w:rPr>
        <w:t>。</w:t>
      </w:r>
    </w:p>
    <w:p w14:paraId="047B02C3">
      <w:pPr>
        <w:keepNext w:val="0"/>
        <w:keepLines w:val="0"/>
        <w:pageBreakBefore w:val="0"/>
        <w:widowControl/>
        <w:tabs>
          <w:tab w:val="left" w:pos="8391"/>
        </w:tabs>
        <w:kinsoku/>
        <w:wordWrap/>
        <w:overflowPunct/>
        <w:topLinePunct w:val="0"/>
        <w:autoSpaceDE w:val="0"/>
        <w:autoSpaceDN w:val="0"/>
        <w:bidi w:val="0"/>
        <w:snapToGrid w:val="0"/>
        <w:spacing w:line="420" w:lineRule="exact"/>
        <w:ind w:right="-69" w:firstLine="480" w:firstLineChars="200"/>
        <w:textAlignment w:val="bottom"/>
        <w:rPr>
          <w:rFonts w:eastAsia="仿宋"/>
          <w:kern w:val="0"/>
          <w:sz w:val="24"/>
        </w:rPr>
      </w:pPr>
      <w:r>
        <w:rPr>
          <w:rFonts w:eastAsia="仿宋"/>
          <w:kern w:val="0"/>
          <w:sz w:val="24"/>
        </w:rPr>
        <w:t>4、生效时间：   年  月  日</w:t>
      </w:r>
    </w:p>
    <w:tbl>
      <w:tblPr>
        <w:tblStyle w:val="6"/>
        <w:tblW w:w="0" w:type="auto"/>
        <w:jc w:val="center"/>
        <w:tblLayout w:type="fixed"/>
        <w:tblCellMar>
          <w:top w:w="0" w:type="dxa"/>
          <w:left w:w="108" w:type="dxa"/>
          <w:bottom w:w="0" w:type="dxa"/>
          <w:right w:w="108" w:type="dxa"/>
        </w:tblCellMar>
      </w:tblPr>
      <w:tblGrid>
        <w:gridCol w:w="4643"/>
        <w:gridCol w:w="4643"/>
      </w:tblGrid>
      <w:tr w14:paraId="1CCFECD7">
        <w:tblPrEx>
          <w:tblCellMar>
            <w:top w:w="0" w:type="dxa"/>
            <w:left w:w="108" w:type="dxa"/>
            <w:bottom w:w="0" w:type="dxa"/>
            <w:right w:w="108" w:type="dxa"/>
          </w:tblCellMar>
        </w:tblPrEx>
        <w:trPr>
          <w:jc w:val="center"/>
        </w:trPr>
        <w:tc>
          <w:tcPr>
            <w:tcW w:w="4643" w:type="dxa"/>
            <w:noWrap w:val="0"/>
            <w:vAlign w:val="top"/>
          </w:tcPr>
          <w:p w14:paraId="662ACC91">
            <w:pPr>
              <w:widowControl/>
              <w:autoSpaceDE w:val="0"/>
              <w:autoSpaceDN w:val="0"/>
              <w:snapToGrid w:val="0"/>
              <w:spacing w:line="360" w:lineRule="auto"/>
              <w:ind w:right="-154" w:firstLine="480" w:firstLineChars="200"/>
              <w:textAlignment w:val="bottom"/>
              <w:rPr>
                <w:rFonts w:eastAsia="仿宋"/>
                <w:kern w:val="0"/>
                <w:sz w:val="24"/>
              </w:rPr>
            </w:pPr>
            <w:r>
              <w:rPr>
                <w:rFonts w:eastAsia="仿宋"/>
                <w:kern w:val="0"/>
                <w:sz w:val="24"/>
              </w:rPr>
              <w:t>甲方名称</w:t>
            </w:r>
            <w:r>
              <w:rPr>
                <w:rFonts w:eastAsia="仿宋"/>
                <w:spacing w:val="-20"/>
                <w:kern w:val="0"/>
                <w:sz w:val="24"/>
              </w:rPr>
              <w:t>（盖章）</w:t>
            </w:r>
            <w:r>
              <w:rPr>
                <w:rFonts w:eastAsia="仿宋"/>
                <w:kern w:val="0"/>
                <w:sz w:val="24"/>
              </w:rPr>
              <w:t>:</w:t>
            </w:r>
          </w:p>
          <w:p w14:paraId="2768FA39">
            <w:pPr>
              <w:widowControl/>
              <w:autoSpaceDE w:val="0"/>
              <w:autoSpaceDN w:val="0"/>
              <w:snapToGrid w:val="0"/>
              <w:spacing w:line="360" w:lineRule="auto"/>
              <w:ind w:right="-154" w:firstLine="480" w:firstLineChars="200"/>
              <w:textAlignment w:val="bottom"/>
              <w:rPr>
                <w:rFonts w:eastAsia="仿宋"/>
                <w:kern w:val="0"/>
                <w:sz w:val="24"/>
              </w:rPr>
            </w:pPr>
            <w:r>
              <w:rPr>
                <w:rFonts w:eastAsia="仿宋"/>
                <w:kern w:val="0"/>
                <w:sz w:val="24"/>
              </w:rPr>
              <w:t>地址：</w:t>
            </w:r>
          </w:p>
          <w:p w14:paraId="2E777D9F">
            <w:pPr>
              <w:widowControl/>
              <w:autoSpaceDE w:val="0"/>
              <w:autoSpaceDN w:val="0"/>
              <w:snapToGrid w:val="0"/>
              <w:spacing w:line="360" w:lineRule="auto"/>
              <w:ind w:right="-154" w:firstLine="480" w:firstLineChars="200"/>
              <w:textAlignment w:val="bottom"/>
              <w:rPr>
                <w:rFonts w:eastAsia="仿宋"/>
                <w:kern w:val="0"/>
                <w:sz w:val="24"/>
              </w:rPr>
            </w:pPr>
            <w:r>
              <w:rPr>
                <w:rFonts w:eastAsia="仿宋"/>
                <w:kern w:val="0"/>
                <w:sz w:val="24"/>
              </w:rPr>
              <w:t>代表人（签字）：</w:t>
            </w:r>
          </w:p>
          <w:p w14:paraId="37F47FAF">
            <w:pPr>
              <w:widowControl/>
              <w:autoSpaceDE w:val="0"/>
              <w:autoSpaceDN w:val="0"/>
              <w:snapToGrid w:val="0"/>
              <w:spacing w:line="360" w:lineRule="auto"/>
              <w:ind w:right="-154" w:firstLine="480" w:firstLineChars="200"/>
              <w:textAlignment w:val="bottom"/>
              <w:rPr>
                <w:rFonts w:eastAsia="仿宋"/>
                <w:kern w:val="0"/>
                <w:sz w:val="24"/>
              </w:rPr>
            </w:pPr>
            <w:r>
              <w:rPr>
                <w:rFonts w:eastAsia="仿宋"/>
                <w:kern w:val="0"/>
                <w:sz w:val="24"/>
              </w:rPr>
              <w:t>电话：</w:t>
            </w:r>
          </w:p>
          <w:p w14:paraId="1AE851A2">
            <w:pPr>
              <w:widowControl/>
              <w:autoSpaceDE w:val="0"/>
              <w:autoSpaceDN w:val="0"/>
              <w:snapToGrid w:val="0"/>
              <w:spacing w:line="360" w:lineRule="auto"/>
              <w:ind w:right="-154" w:firstLine="360" w:firstLineChars="150"/>
              <w:textAlignment w:val="bottom"/>
              <w:rPr>
                <w:rFonts w:eastAsia="仿宋"/>
                <w:kern w:val="0"/>
                <w:sz w:val="24"/>
              </w:rPr>
            </w:pPr>
            <w:r>
              <w:rPr>
                <w:rFonts w:eastAsia="仿宋"/>
                <w:kern w:val="0"/>
                <w:sz w:val="24"/>
              </w:rPr>
              <w:t>开户银行：</w:t>
            </w:r>
          </w:p>
          <w:p w14:paraId="5581D204">
            <w:pPr>
              <w:widowControl/>
              <w:autoSpaceDE w:val="0"/>
              <w:autoSpaceDN w:val="0"/>
              <w:snapToGrid w:val="0"/>
              <w:spacing w:line="360" w:lineRule="auto"/>
              <w:ind w:right="-154" w:firstLine="360" w:firstLineChars="150"/>
              <w:textAlignment w:val="bottom"/>
              <w:rPr>
                <w:rFonts w:eastAsia="仿宋"/>
                <w:kern w:val="0"/>
                <w:sz w:val="24"/>
              </w:rPr>
            </w:pPr>
            <w:r>
              <w:rPr>
                <w:rFonts w:eastAsia="仿宋"/>
                <w:kern w:val="0"/>
                <w:sz w:val="24"/>
              </w:rPr>
              <w:t>帐号：</w:t>
            </w:r>
          </w:p>
        </w:tc>
        <w:tc>
          <w:tcPr>
            <w:tcW w:w="4643" w:type="dxa"/>
            <w:noWrap w:val="0"/>
            <w:vAlign w:val="top"/>
          </w:tcPr>
          <w:p w14:paraId="2765B88C">
            <w:pPr>
              <w:widowControl/>
              <w:autoSpaceDE w:val="0"/>
              <w:autoSpaceDN w:val="0"/>
              <w:snapToGrid w:val="0"/>
              <w:spacing w:line="360" w:lineRule="auto"/>
              <w:ind w:right="-154"/>
              <w:textAlignment w:val="bottom"/>
              <w:rPr>
                <w:rFonts w:eastAsia="仿宋"/>
                <w:kern w:val="0"/>
                <w:sz w:val="24"/>
              </w:rPr>
            </w:pPr>
            <w:r>
              <w:rPr>
                <w:rFonts w:eastAsia="仿宋"/>
                <w:kern w:val="0"/>
                <w:sz w:val="24"/>
              </w:rPr>
              <w:t>乙方名称</w:t>
            </w:r>
            <w:r>
              <w:rPr>
                <w:rFonts w:eastAsia="仿宋"/>
                <w:spacing w:val="-20"/>
                <w:kern w:val="0"/>
                <w:sz w:val="24"/>
              </w:rPr>
              <w:t>（盖章）</w:t>
            </w:r>
            <w:r>
              <w:rPr>
                <w:rFonts w:eastAsia="仿宋"/>
                <w:kern w:val="0"/>
                <w:sz w:val="24"/>
              </w:rPr>
              <w:t>:</w:t>
            </w:r>
          </w:p>
          <w:p w14:paraId="6F870351">
            <w:pPr>
              <w:widowControl/>
              <w:autoSpaceDE w:val="0"/>
              <w:autoSpaceDN w:val="0"/>
              <w:snapToGrid w:val="0"/>
              <w:spacing w:line="360" w:lineRule="auto"/>
              <w:ind w:right="-154"/>
              <w:textAlignment w:val="bottom"/>
              <w:rPr>
                <w:rFonts w:eastAsia="仿宋"/>
                <w:kern w:val="0"/>
                <w:sz w:val="24"/>
              </w:rPr>
            </w:pPr>
            <w:r>
              <w:rPr>
                <w:rFonts w:eastAsia="仿宋"/>
                <w:kern w:val="0"/>
                <w:sz w:val="24"/>
              </w:rPr>
              <w:t>地址：</w:t>
            </w:r>
          </w:p>
          <w:p w14:paraId="59C6B86D">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14:paraId="220C5878">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14:paraId="6DD83615">
            <w:pPr>
              <w:widowControl/>
              <w:autoSpaceDE w:val="0"/>
              <w:autoSpaceDN w:val="0"/>
              <w:snapToGrid w:val="0"/>
              <w:spacing w:line="360" w:lineRule="auto"/>
              <w:ind w:right="-154"/>
              <w:textAlignment w:val="bottom"/>
              <w:rPr>
                <w:rFonts w:eastAsia="仿宋"/>
                <w:kern w:val="0"/>
                <w:sz w:val="24"/>
              </w:rPr>
            </w:pPr>
            <w:r>
              <w:rPr>
                <w:rFonts w:eastAsia="仿宋"/>
                <w:kern w:val="0"/>
                <w:sz w:val="24"/>
              </w:rPr>
              <w:t>开户银行：</w:t>
            </w:r>
          </w:p>
          <w:p w14:paraId="45F0A940">
            <w:pPr>
              <w:widowControl/>
              <w:autoSpaceDE w:val="0"/>
              <w:autoSpaceDN w:val="0"/>
              <w:snapToGrid w:val="0"/>
              <w:spacing w:line="360" w:lineRule="auto"/>
              <w:ind w:right="-154"/>
              <w:textAlignment w:val="bottom"/>
              <w:rPr>
                <w:rFonts w:eastAsia="仿宋"/>
                <w:kern w:val="0"/>
                <w:sz w:val="24"/>
              </w:rPr>
            </w:pPr>
            <w:r>
              <w:rPr>
                <w:rFonts w:eastAsia="仿宋"/>
                <w:kern w:val="0"/>
                <w:sz w:val="24"/>
              </w:rPr>
              <w:t>帐号：</w:t>
            </w:r>
          </w:p>
        </w:tc>
      </w:tr>
    </w:tbl>
    <w:p w14:paraId="49C09C44">
      <w:pPr>
        <w:pStyle w:val="4"/>
        <w:rPr>
          <w:lang w:val="zh-CN"/>
        </w:rPr>
      </w:pPr>
    </w:p>
    <w:p w14:paraId="2B69CF4C">
      <w:pPr>
        <w:spacing w:line="360" w:lineRule="auto"/>
        <w:rPr>
          <w:rFonts w:eastAsia="仿宋"/>
          <w:sz w:val="24"/>
        </w:rPr>
      </w:pPr>
      <w:r>
        <w:rPr>
          <w:rFonts w:eastAsia="仿宋"/>
        </w:rPr>
        <w:br w:type="page"/>
      </w:r>
      <w:r>
        <w:rPr>
          <w:rFonts w:eastAsia="仿宋"/>
          <w:sz w:val="24"/>
        </w:rPr>
        <w:t>合同附件：</w:t>
      </w:r>
    </w:p>
    <w:tbl>
      <w:tblPr>
        <w:tblStyle w:val="6"/>
        <w:tblW w:w="5000" w:type="pct"/>
        <w:tblInd w:w="0" w:type="dxa"/>
        <w:tblLayout w:type="autofit"/>
        <w:tblCellMar>
          <w:top w:w="0" w:type="dxa"/>
          <w:left w:w="108" w:type="dxa"/>
          <w:bottom w:w="0" w:type="dxa"/>
          <w:right w:w="108" w:type="dxa"/>
        </w:tblCellMar>
      </w:tblPr>
      <w:tblGrid>
        <w:gridCol w:w="1571"/>
        <w:gridCol w:w="2299"/>
        <w:gridCol w:w="2524"/>
        <w:gridCol w:w="2128"/>
      </w:tblGrid>
      <w:tr w14:paraId="203325B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00897A89">
            <w:pPr>
              <w:widowControl/>
              <w:jc w:val="center"/>
              <w:rPr>
                <w:rFonts w:eastAsia="仿宋"/>
                <w:b/>
                <w:bCs/>
                <w:kern w:val="0"/>
                <w:sz w:val="32"/>
                <w:szCs w:val="32"/>
              </w:rPr>
            </w:pPr>
            <w:r>
              <w:rPr>
                <w:rFonts w:eastAsia="仿宋"/>
                <w:kern w:val="0"/>
                <w:sz w:val="28"/>
                <w:szCs w:val="28"/>
              </w:rPr>
              <w:t>政府采购项目货物（服务）验收入库报告单</w:t>
            </w:r>
          </w:p>
        </w:tc>
      </w:tr>
      <w:tr w14:paraId="5807FD0B">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1D59BB8B">
            <w:pPr>
              <w:widowControl/>
              <w:jc w:val="center"/>
              <w:rPr>
                <w:rFonts w:eastAsia="仿宋"/>
                <w:kern w:val="0"/>
                <w:sz w:val="24"/>
              </w:rPr>
            </w:pPr>
            <w:r>
              <w:rPr>
                <w:rFonts w:eastAsia="仿宋"/>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00E7FEAB">
            <w:pPr>
              <w:widowControl/>
              <w:jc w:val="center"/>
              <w:rPr>
                <w:rFonts w:eastAsia="仿宋"/>
                <w:kern w:val="0"/>
                <w:sz w:val="24"/>
              </w:rPr>
            </w:pPr>
            <w:r>
              <w:rPr>
                <w:rFonts w:eastAsia="仿宋"/>
                <w:kern w:val="0"/>
                <w:sz w:val="24"/>
              </w:rPr>
              <w:t>　</w:t>
            </w:r>
          </w:p>
        </w:tc>
      </w:tr>
      <w:tr w14:paraId="0A3D08EE">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7EECD3D6">
            <w:pPr>
              <w:widowControl/>
              <w:jc w:val="center"/>
              <w:rPr>
                <w:rFonts w:eastAsia="仿宋"/>
                <w:kern w:val="0"/>
                <w:sz w:val="24"/>
              </w:rPr>
            </w:pPr>
            <w:r>
              <w:rPr>
                <w:rFonts w:eastAsia="仿宋"/>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457DC7DC">
            <w:pPr>
              <w:widowControl/>
              <w:jc w:val="center"/>
              <w:rPr>
                <w:rFonts w:eastAsia="仿宋"/>
                <w:kern w:val="0"/>
                <w:sz w:val="24"/>
              </w:rPr>
            </w:pPr>
            <w:r>
              <w:rPr>
                <w:rFonts w:eastAsia="仿宋"/>
                <w:kern w:val="0"/>
                <w:sz w:val="24"/>
              </w:rPr>
              <w:t>　</w:t>
            </w:r>
          </w:p>
        </w:tc>
      </w:tr>
      <w:tr w14:paraId="4401DA88">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5DBF1462">
            <w:pPr>
              <w:widowControl/>
              <w:jc w:val="center"/>
              <w:rPr>
                <w:rFonts w:eastAsia="仿宋"/>
                <w:kern w:val="0"/>
                <w:sz w:val="24"/>
              </w:rPr>
            </w:pPr>
            <w:r>
              <w:rPr>
                <w:rFonts w:eastAsia="仿宋"/>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2BC7B0A">
            <w:pPr>
              <w:widowControl/>
              <w:jc w:val="center"/>
              <w:rPr>
                <w:rFonts w:eastAsia="仿宋"/>
                <w:kern w:val="0"/>
                <w:sz w:val="24"/>
              </w:rPr>
            </w:pPr>
            <w:r>
              <w:rPr>
                <w:rFonts w:eastAsia="仿宋"/>
                <w:kern w:val="0"/>
                <w:sz w:val="24"/>
              </w:rPr>
              <w:t>　</w:t>
            </w:r>
          </w:p>
        </w:tc>
        <w:tc>
          <w:tcPr>
            <w:tcW w:w="1481" w:type="pct"/>
            <w:tcBorders>
              <w:top w:val="nil"/>
              <w:left w:val="nil"/>
              <w:bottom w:val="single" w:color="auto" w:sz="4" w:space="0"/>
              <w:right w:val="single" w:color="auto" w:sz="4" w:space="0"/>
            </w:tcBorders>
            <w:noWrap/>
            <w:vAlign w:val="center"/>
          </w:tcPr>
          <w:p w14:paraId="2AB64C4B">
            <w:pPr>
              <w:widowControl/>
              <w:jc w:val="center"/>
              <w:rPr>
                <w:rFonts w:eastAsia="仿宋"/>
                <w:kern w:val="0"/>
                <w:sz w:val="24"/>
              </w:rPr>
            </w:pPr>
            <w:r>
              <w:rPr>
                <w:rFonts w:eastAsia="仿宋"/>
                <w:kern w:val="0"/>
                <w:sz w:val="24"/>
              </w:rPr>
              <w:t>合同金额</w:t>
            </w:r>
          </w:p>
        </w:tc>
        <w:tc>
          <w:tcPr>
            <w:tcW w:w="1248" w:type="pct"/>
            <w:tcBorders>
              <w:top w:val="nil"/>
              <w:left w:val="nil"/>
              <w:bottom w:val="single" w:color="auto" w:sz="4" w:space="0"/>
              <w:right w:val="single" w:color="auto" w:sz="8" w:space="0"/>
            </w:tcBorders>
            <w:noWrap/>
            <w:vAlign w:val="center"/>
          </w:tcPr>
          <w:p w14:paraId="52BECD98">
            <w:pPr>
              <w:widowControl/>
              <w:jc w:val="left"/>
              <w:rPr>
                <w:rFonts w:eastAsia="仿宋"/>
                <w:kern w:val="0"/>
                <w:sz w:val="24"/>
              </w:rPr>
            </w:pPr>
            <w:r>
              <w:rPr>
                <w:rFonts w:eastAsia="仿宋"/>
                <w:kern w:val="0"/>
                <w:sz w:val="24"/>
              </w:rPr>
              <w:t>¥:</w:t>
            </w:r>
          </w:p>
        </w:tc>
      </w:tr>
      <w:tr w14:paraId="1F94D325">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7A32D550">
            <w:pPr>
              <w:widowControl/>
              <w:jc w:val="left"/>
              <w:rPr>
                <w:rFonts w:eastAsia="仿宋"/>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457FC07C">
            <w:pPr>
              <w:widowControl/>
              <w:jc w:val="left"/>
              <w:rPr>
                <w:rFonts w:eastAsia="仿宋"/>
                <w:kern w:val="0"/>
                <w:sz w:val="24"/>
              </w:rPr>
            </w:pPr>
          </w:p>
        </w:tc>
        <w:tc>
          <w:tcPr>
            <w:tcW w:w="1481" w:type="pct"/>
            <w:tcBorders>
              <w:top w:val="nil"/>
              <w:left w:val="nil"/>
              <w:bottom w:val="single" w:color="auto" w:sz="4" w:space="0"/>
              <w:right w:val="single" w:color="auto" w:sz="4" w:space="0"/>
            </w:tcBorders>
            <w:noWrap/>
            <w:vAlign w:val="center"/>
          </w:tcPr>
          <w:p w14:paraId="3D883A36">
            <w:pPr>
              <w:widowControl/>
              <w:jc w:val="center"/>
              <w:rPr>
                <w:rFonts w:eastAsia="仿宋"/>
                <w:kern w:val="0"/>
                <w:sz w:val="24"/>
              </w:rPr>
            </w:pPr>
            <w:r>
              <w:rPr>
                <w:rFonts w:eastAsia="仿宋"/>
                <w:kern w:val="0"/>
                <w:sz w:val="24"/>
              </w:rPr>
              <w:t>验收时间/地点</w:t>
            </w:r>
          </w:p>
        </w:tc>
        <w:tc>
          <w:tcPr>
            <w:tcW w:w="1248" w:type="pct"/>
            <w:tcBorders>
              <w:top w:val="nil"/>
              <w:left w:val="nil"/>
              <w:bottom w:val="single" w:color="auto" w:sz="4" w:space="0"/>
              <w:right w:val="single" w:color="auto" w:sz="8" w:space="0"/>
            </w:tcBorders>
            <w:noWrap/>
            <w:vAlign w:val="center"/>
          </w:tcPr>
          <w:p w14:paraId="2580922A">
            <w:pPr>
              <w:widowControl/>
              <w:jc w:val="center"/>
              <w:rPr>
                <w:rFonts w:eastAsia="仿宋"/>
                <w:kern w:val="0"/>
                <w:sz w:val="24"/>
              </w:rPr>
            </w:pPr>
            <w:r>
              <w:rPr>
                <w:rFonts w:eastAsia="仿宋"/>
                <w:kern w:val="0"/>
                <w:sz w:val="24"/>
              </w:rPr>
              <w:t>　</w:t>
            </w:r>
          </w:p>
        </w:tc>
      </w:tr>
      <w:tr w14:paraId="226D9418">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4952DF8">
            <w:pPr>
              <w:widowControl/>
              <w:jc w:val="center"/>
              <w:rPr>
                <w:rFonts w:eastAsia="仿宋"/>
                <w:kern w:val="0"/>
                <w:sz w:val="24"/>
              </w:rPr>
            </w:pPr>
            <w:r>
              <w:rPr>
                <w:rFonts w:eastAsia="仿宋"/>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41BCF96F">
            <w:pPr>
              <w:widowControl/>
              <w:jc w:val="center"/>
              <w:rPr>
                <w:rFonts w:eastAsia="仿宋"/>
                <w:kern w:val="0"/>
                <w:sz w:val="24"/>
              </w:rPr>
            </w:pPr>
            <w:r>
              <w:rPr>
                <w:rFonts w:eastAsia="仿宋"/>
                <w:kern w:val="0"/>
                <w:sz w:val="24"/>
              </w:rPr>
              <w:t>　</w:t>
            </w:r>
          </w:p>
        </w:tc>
      </w:tr>
      <w:tr w14:paraId="5971C7A9">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09F0133D">
            <w:pPr>
              <w:widowControl/>
              <w:jc w:val="center"/>
              <w:rPr>
                <w:rFonts w:eastAsia="仿宋"/>
                <w:kern w:val="0"/>
                <w:sz w:val="24"/>
              </w:rPr>
            </w:pPr>
            <w:r>
              <w:rPr>
                <w:rFonts w:eastAsia="仿宋"/>
                <w:kern w:val="0"/>
                <w:sz w:val="24"/>
              </w:rPr>
              <w:t>开户行</w:t>
            </w:r>
          </w:p>
        </w:tc>
        <w:tc>
          <w:tcPr>
            <w:tcW w:w="1349" w:type="pct"/>
            <w:tcBorders>
              <w:top w:val="nil"/>
              <w:left w:val="nil"/>
              <w:bottom w:val="single" w:color="auto" w:sz="4" w:space="0"/>
              <w:right w:val="single" w:color="auto" w:sz="4" w:space="0"/>
            </w:tcBorders>
            <w:noWrap/>
            <w:vAlign w:val="center"/>
          </w:tcPr>
          <w:p w14:paraId="5C6D1E3D">
            <w:pPr>
              <w:widowControl/>
              <w:jc w:val="center"/>
              <w:rPr>
                <w:rFonts w:eastAsia="仿宋"/>
                <w:kern w:val="0"/>
                <w:sz w:val="24"/>
              </w:rPr>
            </w:pPr>
            <w:r>
              <w:rPr>
                <w:rFonts w:eastAsia="仿宋"/>
                <w:kern w:val="0"/>
                <w:sz w:val="24"/>
              </w:rPr>
              <w:t>　</w:t>
            </w:r>
          </w:p>
        </w:tc>
        <w:tc>
          <w:tcPr>
            <w:tcW w:w="1481" w:type="pct"/>
            <w:tcBorders>
              <w:top w:val="nil"/>
              <w:left w:val="nil"/>
              <w:bottom w:val="single" w:color="auto" w:sz="4" w:space="0"/>
              <w:right w:val="single" w:color="auto" w:sz="4" w:space="0"/>
            </w:tcBorders>
            <w:noWrap/>
            <w:vAlign w:val="center"/>
          </w:tcPr>
          <w:p w14:paraId="6EBEC34A">
            <w:pPr>
              <w:widowControl/>
              <w:jc w:val="center"/>
              <w:rPr>
                <w:rFonts w:eastAsia="仿宋"/>
                <w:kern w:val="0"/>
                <w:sz w:val="24"/>
              </w:rPr>
            </w:pPr>
            <w:r>
              <w:rPr>
                <w:rFonts w:eastAsia="仿宋"/>
                <w:kern w:val="0"/>
                <w:sz w:val="24"/>
              </w:rPr>
              <w:t>账号</w:t>
            </w:r>
          </w:p>
        </w:tc>
        <w:tc>
          <w:tcPr>
            <w:tcW w:w="1248" w:type="pct"/>
            <w:tcBorders>
              <w:top w:val="nil"/>
              <w:left w:val="nil"/>
              <w:bottom w:val="single" w:color="auto" w:sz="4" w:space="0"/>
              <w:right w:val="single" w:color="auto" w:sz="8" w:space="0"/>
            </w:tcBorders>
            <w:noWrap/>
            <w:vAlign w:val="center"/>
          </w:tcPr>
          <w:p w14:paraId="748FF41D">
            <w:pPr>
              <w:widowControl/>
              <w:jc w:val="center"/>
              <w:rPr>
                <w:rFonts w:eastAsia="仿宋"/>
                <w:kern w:val="0"/>
                <w:sz w:val="24"/>
              </w:rPr>
            </w:pPr>
            <w:r>
              <w:rPr>
                <w:rFonts w:eastAsia="仿宋"/>
                <w:kern w:val="0"/>
                <w:sz w:val="24"/>
              </w:rPr>
              <w:t>　</w:t>
            </w:r>
          </w:p>
        </w:tc>
      </w:tr>
      <w:tr w14:paraId="24FEEC73">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4748B8D">
            <w:pPr>
              <w:widowControl/>
              <w:jc w:val="center"/>
              <w:rPr>
                <w:rFonts w:eastAsia="仿宋"/>
                <w:kern w:val="0"/>
                <w:sz w:val="24"/>
              </w:rPr>
            </w:pPr>
            <w:r>
              <w:rPr>
                <w:rFonts w:eastAsia="仿宋"/>
                <w:kern w:val="0"/>
                <w:sz w:val="24"/>
              </w:rPr>
              <w:t>联系人</w:t>
            </w:r>
          </w:p>
        </w:tc>
        <w:tc>
          <w:tcPr>
            <w:tcW w:w="1349" w:type="pct"/>
            <w:tcBorders>
              <w:top w:val="nil"/>
              <w:left w:val="nil"/>
              <w:bottom w:val="nil"/>
              <w:right w:val="single" w:color="auto" w:sz="4" w:space="0"/>
            </w:tcBorders>
            <w:noWrap/>
            <w:vAlign w:val="center"/>
          </w:tcPr>
          <w:p w14:paraId="00D8F1D1">
            <w:pPr>
              <w:widowControl/>
              <w:jc w:val="center"/>
              <w:rPr>
                <w:rFonts w:eastAsia="仿宋"/>
                <w:kern w:val="0"/>
                <w:sz w:val="24"/>
              </w:rPr>
            </w:pPr>
            <w:r>
              <w:rPr>
                <w:rFonts w:eastAsia="仿宋"/>
                <w:kern w:val="0"/>
                <w:sz w:val="24"/>
              </w:rPr>
              <w:t>　</w:t>
            </w:r>
          </w:p>
        </w:tc>
        <w:tc>
          <w:tcPr>
            <w:tcW w:w="1481" w:type="pct"/>
            <w:tcBorders>
              <w:top w:val="nil"/>
              <w:left w:val="nil"/>
              <w:bottom w:val="nil"/>
              <w:right w:val="single" w:color="auto" w:sz="4" w:space="0"/>
            </w:tcBorders>
            <w:noWrap/>
            <w:vAlign w:val="center"/>
          </w:tcPr>
          <w:p w14:paraId="1E423774">
            <w:pPr>
              <w:widowControl/>
              <w:jc w:val="center"/>
              <w:rPr>
                <w:rFonts w:eastAsia="仿宋"/>
                <w:kern w:val="0"/>
                <w:sz w:val="24"/>
              </w:rPr>
            </w:pPr>
            <w:r>
              <w:rPr>
                <w:rFonts w:eastAsia="仿宋"/>
                <w:kern w:val="0"/>
                <w:sz w:val="24"/>
              </w:rPr>
              <w:t>电话</w:t>
            </w:r>
          </w:p>
        </w:tc>
        <w:tc>
          <w:tcPr>
            <w:tcW w:w="1248" w:type="pct"/>
            <w:tcBorders>
              <w:top w:val="nil"/>
              <w:left w:val="nil"/>
              <w:bottom w:val="nil"/>
              <w:right w:val="single" w:color="auto" w:sz="8" w:space="0"/>
            </w:tcBorders>
            <w:noWrap/>
            <w:vAlign w:val="center"/>
          </w:tcPr>
          <w:p w14:paraId="161C92CE">
            <w:pPr>
              <w:widowControl/>
              <w:jc w:val="center"/>
              <w:rPr>
                <w:rFonts w:eastAsia="仿宋"/>
                <w:kern w:val="0"/>
                <w:sz w:val="24"/>
              </w:rPr>
            </w:pPr>
            <w:r>
              <w:rPr>
                <w:rFonts w:eastAsia="仿宋"/>
                <w:kern w:val="0"/>
                <w:sz w:val="24"/>
              </w:rPr>
              <w:t>　</w:t>
            </w:r>
          </w:p>
        </w:tc>
      </w:tr>
      <w:tr w14:paraId="7F68E386">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11B4F006">
            <w:pPr>
              <w:widowControl/>
              <w:jc w:val="left"/>
              <w:rPr>
                <w:rFonts w:eastAsia="仿宋"/>
                <w:kern w:val="0"/>
                <w:sz w:val="24"/>
              </w:rPr>
            </w:pPr>
            <w:r>
              <w:rPr>
                <w:rFonts w:eastAsia="仿宋"/>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053EA856">
            <w:pPr>
              <w:widowControl/>
              <w:jc w:val="left"/>
              <w:rPr>
                <w:rFonts w:eastAsia="仿宋"/>
                <w:kern w:val="0"/>
                <w:sz w:val="24"/>
              </w:rPr>
            </w:pPr>
            <w:r>
              <w:rPr>
                <w:rFonts w:eastAsia="仿宋"/>
                <w:kern w:val="0"/>
                <w:sz w:val="24"/>
              </w:rPr>
              <w:t xml:space="preserve">   使用单位验收意见：（盖章）</w:t>
            </w:r>
          </w:p>
          <w:p w14:paraId="066D27B4">
            <w:pPr>
              <w:rPr>
                <w:rFonts w:eastAsia="仿宋"/>
                <w:sz w:val="24"/>
              </w:rPr>
            </w:pPr>
          </w:p>
        </w:tc>
      </w:tr>
      <w:tr w14:paraId="230B48F0">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24359CAB">
            <w:pPr>
              <w:widowControl/>
              <w:jc w:val="center"/>
              <w:rPr>
                <w:rFonts w:eastAsia="仿宋"/>
                <w:kern w:val="0"/>
                <w:sz w:val="24"/>
              </w:rPr>
            </w:pPr>
            <w:r>
              <w:rPr>
                <w:rFonts w:eastAsia="仿宋"/>
                <w:kern w:val="0"/>
                <w:sz w:val="24"/>
              </w:rPr>
              <w:t xml:space="preserve"> 签字：</w:t>
            </w:r>
          </w:p>
        </w:tc>
        <w:tc>
          <w:tcPr>
            <w:tcW w:w="1349" w:type="pct"/>
            <w:tcBorders>
              <w:top w:val="nil"/>
              <w:left w:val="nil"/>
              <w:bottom w:val="nil"/>
              <w:right w:val="nil"/>
            </w:tcBorders>
            <w:noWrap/>
            <w:vAlign w:val="center"/>
          </w:tcPr>
          <w:p w14:paraId="57F6393B">
            <w:pPr>
              <w:widowControl/>
              <w:jc w:val="center"/>
              <w:rPr>
                <w:rFonts w:eastAsia="仿宋"/>
                <w:kern w:val="0"/>
                <w:sz w:val="24"/>
              </w:rPr>
            </w:pPr>
          </w:p>
        </w:tc>
        <w:tc>
          <w:tcPr>
            <w:tcW w:w="1481" w:type="pct"/>
            <w:tcBorders>
              <w:top w:val="nil"/>
              <w:left w:val="single" w:color="auto" w:sz="4" w:space="0"/>
              <w:bottom w:val="nil"/>
              <w:right w:val="nil"/>
            </w:tcBorders>
            <w:noWrap/>
            <w:vAlign w:val="center"/>
          </w:tcPr>
          <w:p w14:paraId="1E12F498">
            <w:pPr>
              <w:widowControl/>
              <w:jc w:val="center"/>
              <w:rPr>
                <w:rFonts w:eastAsia="仿宋"/>
                <w:kern w:val="0"/>
                <w:sz w:val="24"/>
              </w:rPr>
            </w:pPr>
            <w:r>
              <w:rPr>
                <w:rFonts w:eastAsia="仿宋"/>
                <w:kern w:val="0"/>
                <w:sz w:val="24"/>
              </w:rPr>
              <w:t>签字：</w:t>
            </w:r>
          </w:p>
        </w:tc>
        <w:tc>
          <w:tcPr>
            <w:tcW w:w="1248" w:type="pct"/>
            <w:tcBorders>
              <w:top w:val="nil"/>
              <w:left w:val="nil"/>
              <w:bottom w:val="nil"/>
              <w:right w:val="single" w:color="auto" w:sz="8" w:space="0"/>
            </w:tcBorders>
            <w:noWrap w:val="0"/>
            <w:vAlign w:val="top"/>
          </w:tcPr>
          <w:p w14:paraId="0603D834">
            <w:pPr>
              <w:widowControl/>
              <w:jc w:val="left"/>
              <w:rPr>
                <w:rFonts w:eastAsia="仿宋"/>
                <w:kern w:val="0"/>
                <w:sz w:val="24"/>
              </w:rPr>
            </w:pPr>
            <w:r>
              <w:rPr>
                <w:rFonts w:eastAsia="仿宋"/>
                <w:kern w:val="0"/>
                <w:sz w:val="24"/>
              </w:rPr>
              <w:t>　</w:t>
            </w:r>
          </w:p>
        </w:tc>
      </w:tr>
      <w:tr w14:paraId="6F71AF6A">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683E10A2">
            <w:pPr>
              <w:widowControl/>
              <w:jc w:val="left"/>
              <w:rPr>
                <w:rFonts w:eastAsia="仿宋"/>
                <w:kern w:val="0"/>
                <w:sz w:val="22"/>
                <w:szCs w:val="22"/>
              </w:rPr>
            </w:pPr>
            <w:r>
              <w:rPr>
                <w:rFonts w:eastAsia="仿宋"/>
                <w:kern w:val="0"/>
                <w:sz w:val="22"/>
                <w:szCs w:val="22"/>
              </w:rPr>
              <w:t>　</w:t>
            </w:r>
          </w:p>
        </w:tc>
        <w:tc>
          <w:tcPr>
            <w:tcW w:w="1349" w:type="pct"/>
            <w:tcBorders>
              <w:top w:val="nil"/>
              <w:left w:val="nil"/>
              <w:bottom w:val="single" w:color="auto" w:sz="4" w:space="0"/>
              <w:right w:val="nil"/>
            </w:tcBorders>
            <w:noWrap w:val="0"/>
            <w:vAlign w:val="bottom"/>
          </w:tcPr>
          <w:p w14:paraId="33927F90">
            <w:pPr>
              <w:widowControl/>
              <w:jc w:val="right"/>
              <w:rPr>
                <w:rFonts w:eastAsia="仿宋"/>
                <w:kern w:val="0"/>
                <w:sz w:val="22"/>
                <w:szCs w:val="22"/>
              </w:rPr>
            </w:pPr>
            <w:r>
              <w:rPr>
                <w:rFonts w:eastAsia="仿宋"/>
                <w:kern w:val="0"/>
                <w:sz w:val="22"/>
                <w:szCs w:val="22"/>
              </w:rPr>
              <w:t>年     月   日</w:t>
            </w:r>
          </w:p>
        </w:tc>
        <w:tc>
          <w:tcPr>
            <w:tcW w:w="1481" w:type="pct"/>
            <w:tcBorders>
              <w:top w:val="nil"/>
              <w:left w:val="single" w:color="auto" w:sz="4" w:space="0"/>
              <w:bottom w:val="single" w:color="auto" w:sz="4" w:space="0"/>
              <w:right w:val="nil"/>
            </w:tcBorders>
            <w:noWrap/>
            <w:vAlign w:val="center"/>
          </w:tcPr>
          <w:p w14:paraId="2371300D">
            <w:pPr>
              <w:widowControl/>
              <w:jc w:val="left"/>
              <w:rPr>
                <w:rFonts w:eastAsia="仿宋"/>
                <w:kern w:val="0"/>
                <w:sz w:val="22"/>
                <w:szCs w:val="22"/>
              </w:rPr>
            </w:pPr>
            <w:r>
              <w:rPr>
                <w:rFonts w:eastAsia="仿宋"/>
                <w:kern w:val="0"/>
                <w:sz w:val="22"/>
                <w:szCs w:val="22"/>
              </w:rPr>
              <w:t>　</w:t>
            </w:r>
          </w:p>
        </w:tc>
        <w:tc>
          <w:tcPr>
            <w:tcW w:w="1248" w:type="pct"/>
            <w:tcBorders>
              <w:top w:val="nil"/>
              <w:left w:val="nil"/>
              <w:bottom w:val="single" w:color="auto" w:sz="4" w:space="0"/>
              <w:right w:val="single" w:color="auto" w:sz="8" w:space="0"/>
            </w:tcBorders>
            <w:noWrap w:val="0"/>
            <w:vAlign w:val="bottom"/>
          </w:tcPr>
          <w:p w14:paraId="3EDC1F06">
            <w:pPr>
              <w:widowControl/>
              <w:jc w:val="right"/>
              <w:rPr>
                <w:rFonts w:eastAsia="仿宋"/>
                <w:kern w:val="0"/>
                <w:sz w:val="22"/>
                <w:szCs w:val="22"/>
              </w:rPr>
            </w:pPr>
            <w:r>
              <w:rPr>
                <w:rFonts w:eastAsia="仿宋"/>
                <w:kern w:val="0"/>
                <w:sz w:val="22"/>
                <w:szCs w:val="22"/>
              </w:rPr>
              <w:t>年   月   日</w:t>
            </w:r>
          </w:p>
        </w:tc>
      </w:tr>
      <w:tr w14:paraId="236ACA87">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B697BF6">
            <w:pPr>
              <w:widowControl/>
              <w:jc w:val="center"/>
              <w:rPr>
                <w:rFonts w:eastAsia="仿宋"/>
                <w:kern w:val="0"/>
                <w:sz w:val="22"/>
                <w:szCs w:val="22"/>
              </w:rPr>
            </w:pPr>
            <w:r>
              <w:rPr>
                <w:rFonts w:eastAsia="仿宋"/>
                <w:kern w:val="0"/>
                <w:sz w:val="22"/>
                <w:szCs w:val="22"/>
              </w:rPr>
              <w:t>采购内容</w:t>
            </w:r>
          </w:p>
        </w:tc>
      </w:tr>
      <w:tr w14:paraId="59C36257">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5C2A96F9">
            <w:pPr>
              <w:widowControl/>
              <w:jc w:val="center"/>
              <w:rPr>
                <w:rFonts w:eastAsia="仿宋"/>
                <w:kern w:val="0"/>
                <w:sz w:val="28"/>
                <w:szCs w:val="28"/>
              </w:rPr>
            </w:pPr>
            <w:r>
              <w:rPr>
                <w:rFonts w:eastAsia="仿宋"/>
                <w:kern w:val="0"/>
                <w:sz w:val="28"/>
                <w:szCs w:val="28"/>
              </w:rPr>
              <w:t>采购内容请列明品目、规格、型号、数量、单价、总价</w:t>
            </w:r>
          </w:p>
        </w:tc>
      </w:tr>
    </w:tbl>
    <w:p w14:paraId="117BCF1A">
      <w:pPr>
        <w:rPr>
          <w:rFonts w:eastAsia="仿宋"/>
        </w:rPr>
      </w:pPr>
    </w:p>
    <w:p w14:paraId="64A9849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wMTM4YzQ1MmE2NGVhOGE0ODM3Y2Q5ODMzYzk1NWEifQ=="/>
  </w:docVars>
  <w:rsids>
    <w:rsidRoot w:val="00000000"/>
    <w:rsid w:val="39725AE8"/>
    <w:rsid w:val="4F2C1B3B"/>
    <w:rsid w:val="50AD7F54"/>
    <w:rsid w:val="7580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pPr>
      <w:tabs>
        <w:tab w:val="left" w:pos="567"/>
      </w:tabs>
      <w:spacing w:before="120" w:line="22" w:lineRule="atLeast"/>
    </w:pPr>
    <w:rPr>
      <w:rFonts w:ascii="宋体" w:hAnsi="宋体"/>
      <w:sz w:val="24"/>
    </w:rPr>
  </w:style>
  <w:style w:type="paragraph" w:styleId="5">
    <w:name w:val="Title"/>
    <w:basedOn w:val="1"/>
    <w:next w:val="1"/>
    <w:qFormat/>
    <w:uiPriority w:val="0"/>
    <w:pPr>
      <w:spacing w:before="240" w:after="60"/>
      <w:jc w:val="center"/>
      <w:outlineLvl w:val="0"/>
    </w:pPr>
    <w:rPr>
      <w:rFonts w:ascii="Cambria" w:hAnsi="Cambria"/>
      <w:b/>
      <w:bCs/>
      <w:sz w:val="32"/>
      <w:szCs w:val="32"/>
    </w:rPr>
  </w:style>
  <w:style w:type="character" w:customStyle="1" w:styleId="8">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2605</Words>
  <Characters>2684</Characters>
  <Lines>0</Lines>
  <Paragraphs>0</Paragraphs>
  <TotalTime>3</TotalTime>
  <ScaleCrop>false</ScaleCrop>
  <LinksUpToDate>false</LinksUpToDate>
  <CharactersWithSpaces>2757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2024-09-18T03:41:00Z</dcterms:created>
  <dc:creator>Administrator</dc:creator>
  <cp:lastModifiedBy>じ☆ve璑訁ィ幸湢灬</cp:lastModifiedBy>
  <dcterms:modified xsi:type="dcterms:W3CDTF">2025-05-22T03:51:40Z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B2FF7A9DB81B42F0800CF9FF7B35E68F_13</vt:lpwstr>
  </property>
  <property fmtid="{D5CDD505-2E9C-101B-9397-08002B2CF9AE}" pid="4" name="KSOTemplateDocerSaveRecord">
    <vt:lpwstr>eyJoZGlkIjoiMWNhY2Y2ODMyZGRmODg5M2EzYmM5NTRkZjk5MGE2MWUiLCJ1c2VySWQiOiIxODk3ODcyNzcifQ==</vt:lpwstr>
  </property>
</Properties>
</file>