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版本号：铜川市耀州区常青藤广场花园提升改造项目20250523001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铜川市耀州区常青藤广场花园提升改造项目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铜川市耀州区常青藤广场花园提升改造项目</w:t>
      </w:r>
      <w:r>
        <w:br/>
      </w:r>
      <w:r>
        <w:br/>
      </w:r>
      <w:r>
        <w:br/>
      </w:r>
    </w:p>
    <w:p>
      <w:pPr>
        <w:pStyle w:val="null3"/>
        <w:jc w:val="center"/>
        <w:outlineLvl w:val="2"/>
      </w:pPr>
      <w:r>
        <w:rPr>
          <w:rFonts w:ascii="仿宋_GB2312" w:hAnsi="仿宋_GB2312" w:cs="仿宋_GB2312" w:eastAsia="仿宋_GB2312"/>
          <w:sz w:val="28"/>
          <w:b/>
        </w:rPr>
        <w:t>铜川市耀州区住房和城乡建设局</w:t>
      </w:r>
    </w:p>
    <w:p>
      <w:pPr>
        <w:pStyle w:val="null3"/>
        <w:jc w:val="center"/>
        <w:outlineLvl w:val="2"/>
      </w:pPr>
      <w:r>
        <w:rPr>
          <w:rFonts w:ascii="仿宋_GB2312" w:hAnsi="仿宋_GB2312" w:cs="仿宋_GB2312" w:eastAsia="仿宋_GB2312"/>
          <w:sz w:val="28"/>
          <w:b/>
        </w:rPr>
        <w:t>陕西一鼎全项目咨询有限公司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陕西一鼎全项目咨询有限公司</w:t>
      </w:r>
      <w:r>
        <w:rPr>
          <w:rFonts w:ascii="仿宋_GB2312" w:hAnsi="仿宋_GB2312" w:cs="仿宋_GB2312" w:eastAsia="仿宋_GB2312"/>
        </w:rPr>
        <w:t>（以下简称“代理机构”）受</w:t>
      </w:r>
      <w:r>
        <w:rPr>
          <w:rFonts w:ascii="仿宋_GB2312" w:hAnsi="仿宋_GB2312" w:cs="仿宋_GB2312" w:eastAsia="仿宋_GB2312"/>
        </w:rPr>
        <w:t>铜川市耀州区住房和城乡建设局</w:t>
      </w:r>
      <w:r>
        <w:rPr>
          <w:rFonts w:ascii="仿宋_GB2312" w:hAnsi="仿宋_GB2312" w:cs="仿宋_GB2312" w:eastAsia="仿宋_GB2312"/>
        </w:rPr>
        <w:t>委托，拟对</w:t>
      </w:r>
      <w:r>
        <w:rPr>
          <w:rFonts w:ascii="仿宋_GB2312" w:hAnsi="仿宋_GB2312" w:cs="仿宋_GB2312" w:eastAsia="仿宋_GB2312"/>
        </w:rPr>
        <w:t>铜川市耀州区常青藤广场花园提升改造项目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铜川市耀州区常青藤广场花园提升改造项目</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铜川市耀州区常青藤广场花园提升改造项目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改造原有墙面、廊架，新建花岗岩铺装、塑胶铺装、儿童沙坑、塑木座椅、亮化及安防等设施。</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采购包1（铜川市耀州区常青藤广场花园提升改造项目）：属于专门面向小微企业采购。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1、具有独立承担民事责任的能力的相关证明：具有独立承担民事责任能力的法人、其他组织或自然人，并出具合法有效的营业执照或事业单位法人证书等国家规定的相关证明，自然人参与的提供其身份证明；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2、拟派项目负责人要求：拟派项目负责人须具备市政公用专业二级（或以上）注册建造师资格，并具有合格有效的安全生产考核合格证（安全B证及以上），无在建项目承诺书。</w:t>
      </w:r>
    </w:p>
    <w:p>
      <w:pPr>
        <w:pStyle w:val="null3"/>
      </w:pPr>
      <w:r>
        <w:rPr>
          <w:rFonts w:ascii="仿宋_GB2312" w:hAnsi="仿宋_GB2312" w:cs="仿宋_GB2312" w:eastAsia="仿宋_GB2312"/>
        </w:rPr>
        <w:t>3、企业资质要求：供应商须具备建筑行政主管部门颁发的市政公用工程总承包三级（含三级以上）资质，并具有有效的安全生产许可证；</w:t>
      </w:r>
    </w:p>
    <w:p>
      <w:pPr>
        <w:pStyle w:val="null3"/>
      </w:pPr>
      <w:r>
        <w:rPr>
          <w:rFonts w:ascii="仿宋_GB2312" w:hAnsi="仿宋_GB2312" w:cs="仿宋_GB2312" w:eastAsia="仿宋_GB2312"/>
        </w:rPr>
        <w:t>4、供应商授权合法的的人参加采购：法定代表人直接参加的，须提交法定代表人身份证。法定代表人授权代表参加的，须出具法定代表人授权书及授权代表身份证。</w:t>
      </w:r>
    </w:p>
    <w:p>
      <w:pPr>
        <w:pStyle w:val="null3"/>
      </w:pPr>
      <w:r>
        <w:rPr>
          <w:rFonts w:ascii="仿宋_GB2312" w:hAnsi="仿宋_GB2312" w:cs="仿宋_GB2312" w:eastAsia="仿宋_GB2312"/>
        </w:rPr>
        <w:t>5、财务状况报告：提供2023或2024年度的财务审计报告(至少包括资产负债表和利润表，成立时间至提交响应文件截止时间不足一年的可提供成立后任意时段的资产负债表)或其基本存款账户开户银行出具的资信证明及基本存款账户开户信息；</w:t>
      </w:r>
    </w:p>
    <w:p>
      <w:pPr>
        <w:pStyle w:val="null3"/>
      </w:pPr>
      <w:r>
        <w:rPr>
          <w:rFonts w:ascii="仿宋_GB2312" w:hAnsi="仿宋_GB2312" w:cs="仿宋_GB2312" w:eastAsia="仿宋_GB2312"/>
        </w:rPr>
        <w:t>6、税收缴纳证明：提供2024年12月至今已缴纳的至少一个月的纳税证明或完税证明(时间以税款所属日期为准、税种为任意税种)，依法免税的单位应提供相关证明材料；</w:t>
      </w:r>
    </w:p>
    <w:p>
      <w:pPr>
        <w:pStyle w:val="null3"/>
      </w:pPr>
      <w:r>
        <w:rPr>
          <w:rFonts w:ascii="仿宋_GB2312" w:hAnsi="仿宋_GB2312" w:cs="仿宋_GB2312" w:eastAsia="仿宋_GB2312"/>
        </w:rPr>
        <w:t>7、社会保障资金缴纳证明：提供2024年12月至今已缴存的至少一个月的社会保障资金缴存单据或社保机构开具的社会保险参保缴费情况证明，依法不需要缴纳社会保障资金的单位应提供相关证明材料；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8、书面声明：参加本次政府采购活动前三年内在经营活动中没有重大违纪，以及未被列入失信被执行人、重大税收违法失信主体、政府采购严重违法失信行为记录名单的书面声明。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9、具有履行合同所必需的设备和专业技术能力：提供具有履行合同所必需的设备和专业技术能力的承诺函；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铜川市耀州区文营西路31号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樊琦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13571565878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陕西一鼎全项目咨询有限公司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陕西省铜川市印台区陕西省铜川市印台区城关街道办事处鑫光社区唐华小区一期5号楼1-201室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巩毓</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18091920996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采购包1：639,000.79元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铜川市耀州区住房和城乡建设局</w:t>
      </w:r>
      <w:r>
        <w:rPr>
          <w:rFonts w:ascii="仿宋_GB2312" w:hAnsi="仿宋_GB2312" w:cs="仿宋_GB2312" w:eastAsia="仿宋_GB2312"/>
        </w:rPr>
        <w:t>和</w:t>
      </w:r>
      <w:r>
        <w:rPr>
          <w:rFonts w:ascii="仿宋_GB2312" w:hAnsi="仿宋_GB2312" w:cs="仿宋_GB2312" w:eastAsia="仿宋_GB2312"/>
        </w:rPr>
        <w:t>陕西一鼎全项目咨询有限公司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铜川市耀州区住房和城乡建设局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陕西一鼎全项目咨询有限公司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铜川市耀州区住房和城乡建设局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陕西一鼎全项目咨询有限公司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陕西一鼎全项目咨询有限公司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陕西一鼎全项目咨询有限公司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陕西一鼎全项目咨询有限公司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联系人：巩毓</w:t>
      </w:r>
    </w:p>
    <w:p>
      <w:pPr>
        <w:pStyle w:val="null3"/>
      </w:pPr>
      <w:r>
        <w:rPr>
          <w:rFonts w:ascii="仿宋_GB2312" w:hAnsi="仿宋_GB2312" w:cs="仿宋_GB2312" w:eastAsia="仿宋_GB2312"/>
        </w:rPr>
        <w:t>联系电话：18091920996</w:t>
      </w:r>
    </w:p>
    <w:p>
      <w:pPr>
        <w:pStyle w:val="null3"/>
      </w:pPr>
      <w:r>
        <w:rPr>
          <w:rFonts w:ascii="仿宋_GB2312" w:hAnsi="仿宋_GB2312" w:cs="仿宋_GB2312" w:eastAsia="仿宋_GB2312"/>
        </w:rPr>
        <w:t>地址：铜川市印台区唐华小区一期5号楼1-201</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639,000.79</w:t>
      </w:r>
    </w:p>
    <w:p>
      <w:pPr>
        <w:pStyle w:val="null3"/>
      </w:pPr>
      <w:r>
        <w:rPr>
          <w:rFonts w:ascii="仿宋_GB2312" w:hAnsi="仿宋_GB2312" w:cs="仿宋_GB2312" w:eastAsia="仿宋_GB2312"/>
        </w:rPr>
        <w:t>采购包最高限价（元）: 639,000.79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639000.79</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639,000.79</w:t>
            </w:r>
          </w:p>
        </w:tc>
        <w:tc>
          <w:tcPr>
            <w:tcW w:type="dxa" w:w="1384"/>
          </w:tcPr>
          <w:p>
            <w:pPr>
              <w:pStyle w:val="null3"/>
            </w:pPr>
            <w:r>
              <w:rPr>
                <w:rFonts w:ascii="仿宋_GB2312" w:hAnsi="仿宋_GB2312" w:cs="仿宋_GB2312" w:eastAsia="仿宋_GB2312"/>
              </w:rPr>
              <w:t>个</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标的名称：639000.79</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具有独立承担民事责任的能力的相关证明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项目管理机构组成表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拟派项目负责人要求</w:t>
            </w:r>
          </w:p>
        </w:tc>
        <w:tc>
          <w:tcPr>
            <w:tcW w:type="dxa" w:w="3322"/>
          </w:tcPr>
          <w:p>
            <w:pPr>
              <w:pStyle w:val="null3"/>
            </w:pPr>
            <w:r>
              <w:rPr>
                <w:rFonts w:ascii="仿宋_GB2312" w:hAnsi="仿宋_GB2312" w:cs="仿宋_GB2312" w:eastAsia="仿宋_GB2312"/>
              </w:rPr>
              <w:t>拟派项目负责人须具备市政公用专业二级（或以上）注册建造师资格，并具有合格有效的安全生产考核合格证（安全B证及以上），无在建项目承诺书。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供应商须具备建筑行政主管部门颁发的市政公用工程总承包三级（含三级以上）资质，并具有有效的安全生产许可证；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供应商授权合法的的人参加采购</w:t>
            </w:r>
          </w:p>
        </w:tc>
        <w:tc>
          <w:tcPr>
            <w:tcW w:type="dxa" w:w="3322"/>
          </w:tcPr>
          <w:p>
            <w:pPr>
              <w:pStyle w:val="null3"/>
            </w:pPr>
            <w:r>
              <w:rPr>
                <w:rFonts w:ascii="仿宋_GB2312" w:hAnsi="仿宋_GB2312" w:cs="仿宋_GB2312" w:eastAsia="仿宋_GB2312"/>
              </w:rPr>
              <w:t>法定代表人直接参加的，须提交法定代表人身份证。法定代表人授权代表参加的，须出具法定代表人授权书及授权代表身份证。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的财务审计报告(至少包括资产负债表和利润表，成立时间至提交响应文件截止时间不足一年的可提供成立后任意时段的资产负债表)或其基本存款账户开户银行出具的资信证明及基本存款账户开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提供2024年12月至今已缴纳的至少一个月的纳税证明或完税证明(时间以税款所属日期为准、税种为任意税种)，依法免税的单位应提供相关证明材料；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提供2024年12月至今已缴存的至少一个月的社会保障资金缴存单据或社保机构开具的社会保险参保缴费情况证明，依法不需要缴纳社会保障资金的单位应提供相关证明材料；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响应文件封面 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提供针对本项目的具体实施方案、工作计划，充分理解项目需求。方 案措施合理、完 善、可行，具有可操作性得15-20.0分；方案措施较合理、完善、可行 ，得7.0-14.9 分；方案措施有欠缺，方案简单，得0-6.9分。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评委根据各供应商措施横向对比，进行赋分，赋分范围：措施完善、可行有效， 得8.0-10.0分； 措施一般，得4.0-7.9分；措施差不可行，得0-3.9分。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文明施工及环境保护措施</w:t>
            </w:r>
          </w:p>
        </w:tc>
        <w:tc>
          <w:tcPr>
            <w:tcW w:type="dxa" w:w="2492"/>
          </w:tcPr>
          <w:p>
            <w:pPr>
              <w:pStyle w:val="null3"/>
            </w:pPr>
            <w:r>
              <w:rPr>
                <w:rFonts w:ascii="仿宋_GB2312" w:hAnsi="仿宋_GB2312" w:cs="仿宋_GB2312" w:eastAsia="仿宋_GB2312"/>
              </w:rPr>
              <w:t>评委根据各供应商措施横向对比，进行赋分，赋分范围：措施完善、可行有效， 得8.0-10.0分； 措施一般，得4.0-7.9分；措施差不可行，得0-3.9分。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安全生产保证措施</w:t>
            </w:r>
          </w:p>
        </w:tc>
        <w:tc>
          <w:tcPr>
            <w:tcW w:type="dxa" w:w="2492"/>
          </w:tcPr>
          <w:p>
            <w:pPr>
              <w:pStyle w:val="null3"/>
            </w:pPr>
            <w:r>
              <w:rPr>
                <w:rFonts w:ascii="仿宋_GB2312" w:hAnsi="仿宋_GB2312" w:cs="仿宋_GB2312" w:eastAsia="仿宋_GB2312"/>
              </w:rPr>
              <w:t>评委根据各供应商措施横向对比，进行赋分，赋分范围：措施完善、可行有效， 得8.0-10.0分； 措施一般，得4.0-7.9分； 措施差不可行，得0-3.9分。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工期保证措施</w:t>
            </w:r>
          </w:p>
        </w:tc>
        <w:tc>
          <w:tcPr>
            <w:tcW w:type="dxa" w:w="2492"/>
          </w:tcPr>
          <w:p>
            <w:pPr>
              <w:pStyle w:val="null3"/>
            </w:pPr>
            <w:r>
              <w:rPr>
                <w:rFonts w:ascii="仿宋_GB2312" w:hAnsi="仿宋_GB2312" w:cs="仿宋_GB2312" w:eastAsia="仿宋_GB2312"/>
              </w:rPr>
              <w:t>评委根据各供应商措施横向对比，进行赋分，赋分范围：措施完善、可行有效， 得8.0-10.0分；措施一般，得4.0-7.9分；措施差不可行，得0-3.9分。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近三年内类似业绩，每个2分（提供合同关键页或中标通知书）</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满足磋商文件要求且磋商价格最低的磋商报价为磋商基准价，其价格分为满分。价格分统一按照下列公式计算： 磋商报价得分＝（磋商基准价／磋商报价）×30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详见附件：合同文件 (2).docx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