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版本号：YCRH-2025-052720250528001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铜川市耀州区药王山纪念馆排洪渠应急抢险工程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YCRH-2025-0527</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铜川耀城任禾项目管理有限公司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铜川耀城任禾项目管理有限公司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铜川市耀州区药王山纪念馆排洪渠应急抢险工程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YCRH-2025-0527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铜川市耀州区药王山纪念馆排洪渠应急抢险工程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铜川市耀州区药王纪念馆排洪渠应急抢险工程，建设单位为铜川市耀州区住房和城乡建设局。建设内容:修建雨水管道，雨水管道流向由东向西，东起药王大道，西至孙思邈纪念馆;主管径800-2000mm，修建主线管长305.19m，及配套的检查井、雨水井、道路及绿化拆除重建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采购包1（铜川市耀州区药王山纪念馆排洪渠应急抢险工程）：属于专门面向中小企业采购。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pPr>
        <w:pStyle w:val="null3"/>
      </w:pPr>
      <w:r>
        <w:rPr>
          <w:rFonts w:ascii="仿宋_GB2312" w:hAnsi="仿宋_GB2312" w:cs="仿宋_GB2312" w:eastAsia="仿宋_GB2312"/>
        </w:rPr>
        <w:t>3、财务状况报告：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4、税收缴纳证明：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pPr>
        <w:pStyle w:val="null3"/>
      </w:pPr>
      <w:r>
        <w:rPr>
          <w:rFonts w:ascii="仿宋_GB2312" w:hAnsi="仿宋_GB2312" w:cs="仿宋_GB2312" w:eastAsia="仿宋_GB2312"/>
        </w:rPr>
        <w:t>5、社会保障资金缴纳证明：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pPr>
        <w:pStyle w:val="null3"/>
      </w:pPr>
      <w:r>
        <w:rPr>
          <w:rFonts w:ascii="仿宋_GB2312" w:hAnsi="仿宋_GB2312" w:cs="仿宋_GB2312" w:eastAsia="仿宋_GB2312"/>
        </w:rPr>
        <w:t>6、没有重大违法记录的书面声明：提供参加政府采购活动前3年内在经营活动中没有重大违法记录的书面声明。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7、信用记录：供应商不得被“信用中国”网站（www.creditchina.gov.cn）列入失信被执行人和重大税收违法案件当事人名单人，不得被“中国政府采购网”（www.ccgp.gov.cn）列入政府采购严重违法失信行为记录名单。</w:t>
      </w:r>
    </w:p>
    <w:p>
      <w:pPr>
        <w:pStyle w:val="null3"/>
      </w:pPr>
      <w:r>
        <w:rPr>
          <w:rFonts w:ascii="仿宋_GB2312" w:hAnsi="仿宋_GB2312" w:cs="仿宋_GB2312" w:eastAsia="仿宋_GB2312"/>
        </w:rPr>
        <w:t>8、履行合同所必需的设备和专业技术能力的书面声明：提供履行合同所必需的设备和专业技术能力的书面声明。</w:t>
      </w:r>
    </w:p>
    <w:p>
      <w:pPr>
        <w:pStyle w:val="null3"/>
      </w:pPr>
      <w:r>
        <w:rPr>
          <w:rFonts w:ascii="仿宋_GB2312" w:hAnsi="仿宋_GB2312" w:cs="仿宋_GB2312" w:eastAsia="仿宋_GB2312"/>
        </w:rPr>
        <w:t>9、与其他供应商不存在单位负责人为同一人，且不存在直接控股、管理关系：若与其他供应商存在单位负责人为同一人或者存在直接控股、管理关系的，则投标无效。</w:t>
      </w:r>
    </w:p>
    <w:p>
      <w:pPr>
        <w:pStyle w:val="null3"/>
      </w:pPr>
      <w:r>
        <w:rPr>
          <w:rFonts w:ascii="仿宋_GB2312" w:hAnsi="仿宋_GB2312" w:cs="仿宋_GB2312" w:eastAsia="仿宋_GB2312"/>
        </w:rPr>
        <w:t>10、企业资质要求：供应商须具备【市政公用工程施工总承包三级】及以上资质，且有合法有效的安全生产许可证。</w:t>
      </w:r>
    </w:p>
    <w:p>
      <w:pPr>
        <w:pStyle w:val="null3"/>
      </w:pPr>
      <w:r>
        <w:rPr>
          <w:rFonts w:ascii="仿宋_GB2312" w:hAnsi="仿宋_GB2312" w:cs="仿宋_GB2312" w:eastAsia="仿宋_GB2312"/>
        </w:rPr>
        <w:t>11、项目经理要求：供应商拟派项目经理具备【市政公用工程专业】注册建造师二级及以上执业资格，并具有有效的安全生产考核合格证书（建安B证），且未担任其他在建工程项目。</w:t>
      </w:r>
    </w:p>
    <w:p>
      <w:pPr>
        <w:pStyle w:val="null3"/>
      </w:pPr>
      <w:r>
        <w:rPr>
          <w:rFonts w:ascii="仿宋_GB2312" w:hAnsi="仿宋_GB2312" w:cs="仿宋_GB2312" w:eastAsia="仿宋_GB2312"/>
        </w:rPr>
        <w:t>12、省外企业入陕备案：省外企业须在陕西省建筑市场监管与诚信信息一体化平台（或陕西省住房和城乡建设厅网站）企业库中可查询。</w:t>
      </w:r>
    </w:p>
    <w:p>
      <w:pPr>
        <w:pStyle w:val="null3"/>
      </w:pPr>
      <w:r>
        <w:rPr>
          <w:rFonts w:ascii="仿宋_GB2312" w:hAnsi="仿宋_GB2312" w:cs="仿宋_GB2312" w:eastAsia="仿宋_GB2312"/>
        </w:rPr>
        <w:t>13、本采购包专门面向中小企业采购：本采购包专门面向中小企业采购，参与的供应商全部为符合政策要求的中小企业。（监狱企业、残疾人福利性单位视同小型、微型企业）。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18009192745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铜川耀城任禾项目管理有限公司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陕西省铜川市耀州区天宝路街道办事处天宝滩社区锦阳路北段西侧转角楼二层门面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0919-6600459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采购包1：2,916,998.84元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代理服务费收费标准：代理服务费由中标单位（成交人）在领取中标通知书前一次性支付给采购代理机构，本项目采购代理服务费人民币28000.00元整（大写：贰万捌仟元整）。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铜川耀城任禾项目管理有限公司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铜川耀城任禾项目管理有限公司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铜川耀城任禾项目管理有限公司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联系人：黄静</w:t>
      </w:r>
    </w:p>
    <w:p>
      <w:pPr>
        <w:pStyle w:val="null3"/>
      </w:pPr>
      <w:r>
        <w:rPr>
          <w:rFonts w:ascii="仿宋_GB2312" w:hAnsi="仿宋_GB2312" w:cs="仿宋_GB2312" w:eastAsia="仿宋_GB2312"/>
        </w:rPr>
        <w:t>联系电话：0919-6600459</w:t>
      </w:r>
    </w:p>
    <w:p>
      <w:pPr>
        <w:pStyle w:val="null3"/>
      </w:pPr>
      <w:r>
        <w:rPr>
          <w:rFonts w:ascii="仿宋_GB2312" w:hAnsi="仿宋_GB2312" w:cs="仿宋_GB2312" w:eastAsia="仿宋_GB2312"/>
        </w:rPr>
        <w:t>地址：陕西省铜川市耀州区华原路与锦阳路交叉口（柳公权中学对面、光明眼镜行隔壁）</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2,916,998.84</w:t>
      </w:r>
    </w:p>
    <w:p>
      <w:pPr>
        <w:pStyle w:val="null3"/>
      </w:pPr>
      <w:r>
        <w:rPr>
          <w:rFonts w:ascii="仿宋_GB2312" w:hAnsi="仿宋_GB2312" w:cs="仿宋_GB2312" w:eastAsia="仿宋_GB2312"/>
        </w:rPr>
        <w:t>采购包最高限价（元）: 2,916,998.84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2916998.84</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2,916,998.84</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标的名称：2916998.84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1、工程概述</w:t>
            </w:r>
          </w:p>
          <w:p>
            <w:pPr>
              <w:pStyle w:val="null3"/>
              <w:ind w:firstLine="480"/>
              <w:jc w:val="both"/>
            </w:pPr>
            <w:r>
              <w:rPr>
                <w:rFonts w:ascii="仿宋_GB2312" w:hAnsi="仿宋_GB2312" w:cs="仿宋_GB2312" w:eastAsia="仿宋_GB2312"/>
                <w:sz w:val="24"/>
              </w:rPr>
              <w:t>本项目为铜川市耀州区药王纪念馆排洪渠应急抢险工程，建设单位为铜川市耀州区住房和城乡建设局。建设内容</w:t>
            </w:r>
            <w:r>
              <w:rPr>
                <w:rFonts w:ascii="仿宋_GB2312" w:hAnsi="仿宋_GB2312" w:cs="仿宋_GB2312" w:eastAsia="仿宋_GB2312"/>
                <w:sz w:val="24"/>
              </w:rPr>
              <w:t>:修建雨水管道，雨水管道流向由东向西，东起药王大道，西至孙思邈纪念馆;主管径800-2000mm，修建主线管长305.19m，及配套的检查井、雨水井、道路及绿化拆除重建等。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w:t>
            </w:r>
            <w:r>
              <w:rPr>
                <w:rFonts w:ascii="仿宋_GB2312" w:hAnsi="仿宋_GB2312" w:cs="仿宋_GB2312" w:eastAsia="仿宋_GB2312"/>
                <w:sz w:val="24"/>
              </w:rPr>
              <w:t>期自合同签订之日起</w:t>
            </w:r>
            <w:r>
              <w:rPr>
                <w:rFonts w:ascii="仿宋_GB2312" w:hAnsi="仿宋_GB2312" w:cs="仿宋_GB2312" w:eastAsia="仿宋_GB2312"/>
                <w:sz w:val="24"/>
              </w:rPr>
              <w:t>90日历天；</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、施工地点采购人指定地点。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质量保修期</w:t>
            </w:r>
            <w:r>
              <w:rPr>
                <w:rFonts w:ascii="仿宋_GB2312" w:hAnsi="仿宋_GB2312" w:cs="仿宋_GB2312" w:eastAsia="仿宋_GB2312"/>
                <w:sz w:val="24"/>
              </w:rPr>
              <w:t>：</w:t>
            </w:r>
            <w:r>
              <w:rPr>
                <w:rFonts w:ascii="仿宋_GB2312" w:hAnsi="仿宋_GB2312" w:cs="仿宋_GB2312" w:eastAsia="仿宋_GB2312"/>
                <w:sz w:val="24"/>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2、线下递交文件截止时间：详见本项目采购公告（即响应文件提交截止时间）； 3、线下递交文件地点：陕西省铜川市耀州区华原路与锦阳路交叉口（柳公权中学对面、光明眼镜行隔壁） 铜川耀城任禾项目管理有限公司。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tc>
        <w:tc>
          <w:tcPr>
            <w:tcW w:type="dxa" w:w="1661"/>
          </w:tcPr>
          <w:p>
            <w:pPr>
              <w:pStyle w:val="null3"/>
            </w:pPr>
            <w:r>
              <w:rPr>
                <w:rFonts w:ascii="仿宋_GB2312" w:hAnsi="仿宋_GB2312" w:cs="仿宋_GB2312" w:eastAsia="仿宋_GB2312"/>
              </w:rPr>
              <w:t>法定代表人证明书及法定代表人授权委托书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供应商不得被“信用中国”网站（www.creditchina.gov.cn）列入失信被执行人和重大税收违法案件当事人名单人，不得被“中国政府采购网”（www.ccgp.gov.cn）列入政府采购严重违法失信行为记录名单。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提供履行合同所必需的设备和专业技术能力的书面声明。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与其他供应商不存在单位负责人为同一人，且不存在直接控股、管理关系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供应商须具备【市政公用工程施工总承包三级】及以上资质，且有合法有效的安全生产许可证。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供应商拟派项目经理具备【市政公用工程专业】注册建造师二级及以上执业资格，并具有有效的安全生产考核合格证书（建安B证），且未担任其他在建工程项目。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省外企业入陕备案</w:t>
            </w:r>
          </w:p>
        </w:tc>
        <w:tc>
          <w:tcPr>
            <w:tcW w:type="dxa" w:w="3322"/>
          </w:tcPr>
          <w:p>
            <w:pPr>
              <w:pStyle w:val="null3"/>
            </w:pPr>
            <w:r>
              <w:rPr>
                <w:rFonts w:ascii="仿宋_GB2312" w:hAnsi="仿宋_GB2312" w:cs="仿宋_GB2312" w:eastAsia="仿宋_GB2312"/>
              </w:rPr>
              <w:t>省外企业须在陕西省建筑市场监管与诚信信息一体化平台（或陕西省住房和城乡建设厅网站）企业库中可查询。</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本采购包专门面向中小企业采购，参与的供应商全部为符合政策要求的中小企业。（监狱企业、残疾人福利性单位视同小型、微型企业）。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按竞争性磋商文件要求相应位置加盖公章，法定代表人或其授权代表人的签字齐全并加盖公章；（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已标价工程量清单 施工组织设计 中小企业声明函 技术、商务偏离表 售后服务和保修承诺 响应文件封面 项目业绩 法定代表人证明书及法定代表人授权委托书 残疾人福利性单位声明函 报价函 符合政府采购政策的承诺书 标的清单 响应函 监狱企业的证明文件 供应商资格证明文件 其他供应商认为需要提供的资料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响应文件内容：要求必须响应的内容齐全、无遗漏。</w:t>
            </w:r>
          </w:p>
        </w:tc>
        <w:tc>
          <w:tcPr>
            <w:tcW w:type="dxa" w:w="1661"/>
          </w:tcPr>
          <w:p>
            <w:pPr>
              <w:pStyle w:val="null3"/>
            </w:pPr>
            <w:r>
              <w:rPr>
                <w:rFonts w:ascii="仿宋_GB2312" w:hAnsi="仿宋_GB2312" w:cs="仿宋_GB2312" w:eastAsia="仿宋_GB2312"/>
              </w:rPr>
              <w:t>已标价工程量清单 施工组织设计 中小企业声明函 技术、商务偏离表 售后服务和保修承诺 响应文件封面 项目业绩 法定代表人证明书及法定代表人授权委托书 残疾人福利性单位声明函 报价函 符合政府采购政策的承诺书 标的清单 响应函 监狱企业的证明文件 供应商资格证明文件 其他供应商认为需要提供的资料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竞争性磋商文件响应程度：要求全面响应，不能有任何采购人不能接受的附加条件；（2）拟提供的服务要求：应满足竞争性磋商文件提出的技术和服务要求。（3）投标有效期：应满足竞争性磋商文件中的规定；（4）合同履行期限：应满足竞争性磋商文件中的规定。</w:t>
            </w:r>
          </w:p>
        </w:tc>
        <w:tc>
          <w:tcPr>
            <w:tcW w:type="dxa" w:w="1661"/>
          </w:tcPr>
          <w:p>
            <w:pPr>
              <w:pStyle w:val="null3"/>
            </w:pPr>
            <w:r>
              <w:rPr>
                <w:rFonts w:ascii="仿宋_GB2312" w:hAnsi="仿宋_GB2312" w:cs="仿宋_GB2312" w:eastAsia="仿宋_GB2312"/>
              </w:rPr>
              <w:t>已标价工程量清单 施工组织设计 中小企业声明函 技术、商务偏离表 售后服务和保修承诺 响应文件封面 项目业绩 法定代表人证明书及法定代表人授权委托书 残疾人福利性单位声明函 报价函 符合政府采购政策的承诺书 标的清单 响应函 监狱企业的证明文件 供应商资格证明文件 其他供应商认为需要提供的资料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按照本项目要求提供详细完善的施工方案。 提供的方案贴合本项目特征，内容完整，完全满足采购需求要求，具有可行性，计5分； 提供的方案贴合项目但内容不够全面，计3分； 提供的方案非专门针对本项目或不适用本项目特性、套用其他项目内容，可行性一般，计1分；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提供确保工程质量的技术组织措施。 措施贴合本项目特征，完全满足采购需求要求，具有可行性，计6分； 提供的措施非专门针对本项目或不适用本项目特性、套用其他项目内容，可行性一般，计4分； 提供的措施存在逻辑漏洞、科学原理或常识错误，计2分。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提供的项目经理部组成贴合本项目特征，人员配备全面、合理，完全满足采购需求要求，具有可行性，计8分； 提供的项目经理部组成贴合本项目特征，但人员配备不全，无法保证项目实施质量，计6分； 提供的项目经理部组成非专门针对本项目或不适用本项目特性、套用其他项目内容，可行性一般，计4分； 提供的项目经理部组成存在逻辑漏洞、科学原理或常识错误，计2分。未提供不得分。（供应商需在项目电子化交易系统中附人员相关证书及证件的复印件并进行签章）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提供全面的确保工程按期完成的技术组织措施和整体进度安排。 提供的措施贴合本项目特征，完全满足采购需求要求，具有可行性，计5分； 提供的措施非专门针对本项目或不适用本项目特性、套用其他项目内容，可行性一般，计3分； 提供的措施存在逻辑漏洞、科学原理或常识错误，计1分。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提供确保安全生产技术组织措施。 措施贴合本项目特征，完全满足采购需求要求，具有可行性，计8分； 提供的措施贴合本项目特征，有一定可行性，但措施不完整、具体，计6分 提供的措施非专门针对本项目或不适用本项目特性、套用其他项目内容，可行性一般，计4分； 提供的措施存在逻辑漏洞、科学原理或常识错误，计2分。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文明施工体系与措施</w:t>
            </w:r>
          </w:p>
        </w:tc>
        <w:tc>
          <w:tcPr>
            <w:tcW w:type="dxa" w:w="2492"/>
          </w:tcPr>
          <w:p>
            <w:pPr>
              <w:pStyle w:val="null3"/>
            </w:pPr>
            <w:r>
              <w:rPr>
                <w:rFonts w:ascii="仿宋_GB2312" w:hAnsi="仿宋_GB2312" w:cs="仿宋_GB2312" w:eastAsia="仿宋_GB2312"/>
              </w:rPr>
              <w:t>文明施工体系健全，预防和动态控制制度完整、到位，管理体系和组织功能完善。措施贴合本项目特征，完全满足采购需求要求，具有可行性，计8分； 提供的措施贴合本项目特征，有一定可行性，但措施不完整、具体，计6分 提供的措施非专门针对本项目或不适用本项目特性、套用其他项目内容，可行性一般，计4分； 提供的措施存在逻辑漏洞、科学原理或常识错误，计2分。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环境保护管理措施及治污减霾措施</w:t>
            </w:r>
          </w:p>
        </w:tc>
        <w:tc>
          <w:tcPr>
            <w:tcW w:type="dxa" w:w="2492"/>
          </w:tcPr>
          <w:p>
            <w:pPr>
              <w:pStyle w:val="null3"/>
            </w:pPr>
            <w:r>
              <w:rPr>
                <w:rFonts w:ascii="仿宋_GB2312" w:hAnsi="仿宋_GB2312" w:cs="仿宋_GB2312" w:eastAsia="仿宋_GB2312"/>
              </w:rPr>
              <w:t>环境保护及治污减霾目标明确，预防和动态控制措施及制度完整、到位，管理体系和组织措施功能完善。措施贴合本项目特征，完全满足采购需求要求，具有可行性，计8分； 提供的措施贴合本项目特征，有一定可行性，但措施不完整、具体，计6分 提供的措施非专门针对本项目或不适用本项目特性、套用其他项目内容，可行性一般，计4分； 提供的措施存在逻辑漏洞、科学原理或常识错误，计2分。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提供的机械配备齐全、计划贴合本项目特征，完全满足采购需求要求，具有可行性，计8分；贴合本项目特征，有一定可行性，但不完整、具体，计6分 提供的计划非专门针对本项目或不适用本项目特性、套用其他项目内容，可行性一般，计4分； 提供的措施存在逻辑漏洞、科学原理或常识错误，计2分。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售后服务和保修承诺</w:t>
            </w:r>
          </w:p>
        </w:tc>
        <w:tc>
          <w:tcPr>
            <w:tcW w:type="dxa" w:w="2492"/>
          </w:tcPr>
          <w:p>
            <w:pPr>
              <w:pStyle w:val="null3"/>
            </w:pPr>
            <w:r>
              <w:rPr>
                <w:rFonts w:ascii="仿宋_GB2312" w:hAnsi="仿宋_GB2312" w:cs="仿宋_GB2312" w:eastAsia="仿宋_GB2312"/>
              </w:rPr>
              <w:t>供应商针对本项目有详细具体的售后服务和保修承诺，包括但不限于售后服务内容，服务范围，响应时间，售后服务人员，定期巡检，保修范围和内容，修复时间和应急预案。 提供的内容贴合本项目特征，内容完整，完全满足采购需求要求，具有可行性，计8分；贴合本项目特征，有一定可行性，但不完整、具体，计6分；提供的方案非专门针对本项目或不适用本项目特性、套用其他项目内容，可行性一般，计4分； 提供的方案存在逻辑漏洞、科学原理或常识错误，计2分。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售后服务和保修承诺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提供供应商2022年1月1日至今同类项目施工业绩（已完工），每提供1份得2分，最高得6分。（提供合同复印件，时间以合同签订日期为准）。 注：供应商需在项目电子化交易系统中按要求上传合同复印件并进行电子签章。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为满分30分。3.磋商报价得分=（磋商基准价/最终磋商报价）×30的公式计算得分。4.磋商报价不完整的，不进入评标标准价的计算，本项得0分。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详见附件：技术、商务偏离表</w:t>
      </w:r>
    </w:p>
    <w:p>
      <w:pPr>
        <w:pStyle w:val="null3"/>
        <w:ind w:firstLine="960"/>
      </w:pPr>
      <w:r>
        <w:rPr>
          <w:rFonts w:ascii="仿宋_GB2312" w:hAnsi="仿宋_GB2312" w:cs="仿宋_GB2312" w:eastAsia="仿宋_GB2312"/>
        </w:rPr>
        <w:t>详见附件：法定代表人证明书及法定代表人授权委托书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详见附件：售后服务和保修承诺</w:t>
      </w:r>
    </w:p>
    <w:p>
      <w:pPr>
        <w:pStyle w:val="null3"/>
        <w:ind w:firstLine="960"/>
      </w:pPr>
      <w:r>
        <w:rPr>
          <w:rFonts w:ascii="仿宋_GB2312" w:hAnsi="仿宋_GB2312" w:cs="仿宋_GB2312" w:eastAsia="仿宋_GB2312"/>
        </w:rPr>
        <w:t>详见附件：项目业绩</w:t>
      </w:r>
    </w:p>
    <w:p>
      <w:pPr>
        <w:pStyle w:val="null3"/>
        <w:ind w:firstLine="960"/>
      </w:pPr>
      <w:r>
        <w:rPr>
          <w:rFonts w:ascii="仿宋_GB2312" w:hAnsi="仿宋_GB2312" w:cs="仿宋_GB2312" w:eastAsia="仿宋_GB2312"/>
        </w:rPr>
        <w:t>详见附件：符合政府采购政策的承诺书</w:t>
      </w:r>
    </w:p>
    <w:p>
      <w:pPr>
        <w:pStyle w:val="null3"/>
        <w:ind w:firstLine="960"/>
      </w:pPr>
      <w:r>
        <w:rPr>
          <w:rFonts w:ascii="仿宋_GB2312" w:hAnsi="仿宋_GB2312" w:cs="仿宋_GB2312" w:eastAsia="仿宋_GB2312"/>
        </w:rPr>
        <w:t>详见附件：其他供应商认为需要提供的资料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