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98B066">
      <w:pPr>
        <w:widowControl/>
        <w:kinsoku w:val="0"/>
        <w:autoSpaceDE w:val="0"/>
        <w:autoSpaceDN w:val="0"/>
        <w:adjustRightInd w:val="0"/>
        <w:snapToGrid w:val="0"/>
        <w:spacing w:before="101" w:line="360" w:lineRule="auto"/>
        <w:ind w:left="3082"/>
        <w:jc w:val="left"/>
        <w:textAlignment w:val="baseline"/>
        <w:outlineLvl w:val="0"/>
        <w:rPr>
          <w:rFonts w:ascii="宋体" w:hAnsi="宋体" w:eastAsia="宋体" w:cs="宋体"/>
          <w:snapToGrid w:val="0"/>
          <w:color w:val="000000"/>
          <w:kern w:val="0"/>
          <w:sz w:val="22"/>
          <w:szCs w:val="22"/>
          <w:lang w:eastAsia="en-US"/>
        </w:rPr>
      </w:pPr>
      <w:r>
        <w:rPr>
          <w:rFonts w:ascii="宋体" w:hAnsi="宋体" w:eastAsia="宋体" w:cs="宋体"/>
          <w:b/>
          <w:bCs/>
          <w:snapToGrid w:val="0"/>
          <w:color w:val="000000"/>
          <w:spacing w:val="6"/>
          <w:kern w:val="0"/>
          <w:sz w:val="22"/>
          <w:szCs w:val="22"/>
          <w:lang w:eastAsia="en-US"/>
        </w:rPr>
        <w:t>合同条款及格式</w:t>
      </w:r>
    </w:p>
    <w:p w14:paraId="52080725">
      <w:pPr>
        <w:widowControl/>
        <w:kinsoku w:val="0"/>
        <w:autoSpaceDE w:val="0"/>
        <w:autoSpaceDN w:val="0"/>
        <w:adjustRightInd w:val="0"/>
        <w:snapToGrid w:val="0"/>
        <w:spacing w:before="252" w:line="360" w:lineRule="auto"/>
        <w:ind w:left="1696"/>
        <w:jc w:val="left"/>
        <w:textAlignment w:val="baseline"/>
        <w:rPr>
          <w:rFonts w:ascii="宋体" w:hAnsi="宋体" w:eastAsia="宋体" w:cs="宋体"/>
          <w:snapToGrid w:val="0"/>
          <w:color w:val="000000"/>
          <w:kern w:val="0"/>
          <w:sz w:val="22"/>
          <w:szCs w:val="22"/>
          <w:lang w:eastAsia="en-US"/>
        </w:rPr>
      </w:pPr>
      <w:r>
        <w:rPr>
          <w:rFonts w:ascii="宋体" w:hAnsi="宋体" w:eastAsia="宋体" w:cs="宋体"/>
          <w:snapToGrid w:val="0"/>
          <w:color w:val="000000"/>
          <w:spacing w:val="-1"/>
          <w:kern w:val="0"/>
          <w:sz w:val="22"/>
          <w:szCs w:val="22"/>
          <w:lang w:eastAsia="en-US"/>
        </w:rPr>
        <w:t>（此合同仅供参考，具体事情甲乙双方协商确定）</w:t>
      </w:r>
    </w:p>
    <w:p w14:paraId="155EA5C5">
      <w:pPr>
        <w:kinsoku w:val="0"/>
        <w:autoSpaceDE w:val="0"/>
        <w:autoSpaceDN w:val="0"/>
        <w:adjustRightInd w:val="0"/>
        <w:snapToGrid w:val="0"/>
        <w:spacing w:line="360" w:lineRule="auto"/>
        <w:jc w:val="left"/>
        <w:textAlignment w:val="baseline"/>
        <w:rPr>
          <w:rFonts w:ascii="Arial" w:hAnsi="Arial" w:eastAsia="Arial" w:cs="Arial"/>
          <w:snapToGrid w:val="0"/>
          <w:color w:val="000000"/>
          <w:kern w:val="0"/>
          <w:sz w:val="22"/>
          <w:szCs w:val="22"/>
          <w:lang w:val="en-US" w:eastAsia="en-US" w:bidi="ar-SA"/>
        </w:rPr>
      </w:pPr>
    </w:p>
    <w:p w14:paraId="3A0E802C">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13"/>
          <w:kern w:val="0"/>
          <w:sz w:val="22"/>
          <w:szCs w:val="22"/>
          <w:highlight w:val="none"/>
          <w:lang w:eastAsia="en-US"/>
        </w:rPr>
        <w:t>甲方：</w:t>
      </w:r>
      <w:r>
        <w:rPr>
          <w:rFonts w:hint="eastAsia" w:ascii="宋体" w:hAnsi="宋体" w:eastAsia="宋体" w:cs="宋体"/>
          <w:snapToGrid w:val="0"/>
          <w:color w:val="000000"/>
          <w:kern w:val="0"/>
          <w:sz w:val="22"/>
          <w:szCs w:val="22"/>
          <w:highlight w:val="none"/>
          <w:u w:val="single" w:color="auto"/>
          <w:lang w:eastAsia="en-US"/>
        </w:rPr>
        <w:t xml:space="preserve">                    </w:t>
      </w:r>
    </w:p>
    <w:p w14:paraId="15D3F5B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地址：</w:t>
      </w:r>
      <w:r>
        <w:rPr>
          <w:rFonts w:hint="eastAsia" w:ascii="宋体" w:hAnsi="宋体" w:eastAsia="宋体" w:cs="宋体"/>
          <w:snapToGrid w:val="0"/>
          <w:color w:val="000000"/>
          <w:kern w:val="0"/>
          <w:sz w:val="22"/>
          <w:szCs w:val="22"/>
          <w:highlight w:val="none"/>
          <w:u w:val="single" w:color="auto"/>
          <w:lang w:eastAsia="en-US"/>
        </w:rPr>
        <w:t xml:space="preserve">                    </w:t>
      </w:r>
    </w:p>
    <w:p w14:paraId="73576893">
      <w:pPr>
        <w:pageBreakBefore w:val="0"/>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val="en-US" w:eastAsia="en-US" w:bidi="ar-SA"/>
        </w:rPr>
      </w:pPr>
    </w:p>
    <w:p w14:paraId="483F5AF0">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7"/>
          <w:kern w:val="0"/>
          <w:sz w:val="22"/>
          <w:szCs w:val="22"/>
          <w:highlight w:val="none"/>
          <w:lang w:eastAsia="en-US"/>
        </w:rPr>
        <w:t>乙方：</w:t>
      </w:r>
      <w:r>
        <w:rPr>
          <w:rFonts w:hint="eastAsia" w:ascii="宋体" w:hAnsi="宋体" w:eastAsia="宋体" w:cs="宋体"/>
          <w:snapToGrid w:val="0"/>
          <w:color w:val="000000"/>
          <w:spacing w:val="-7"/>
          <w:kern w:val="0"/>
          <w:sz w:val="22"/>
          <w:szCs w:val="22"/>
          <w:highlight w:val="none"/>
          <w:u w:val="single" w:color="auto"/>
          <w:lang w:eastAsia="en-US"/>
        </w:rPr>
        <w:t xml:space="preserve">                     </w:t>
      </w:r>
    </w:p>
    <w:p w14:paraId="65881145">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地址：</w:t>
      </w:r>
      <w:r>
        <w:rPr>
          <w:rFonts w:hint="eastAsia" w:ascii="宋体" w:hAnsi="宋体" w:eastAsia="宋体" w:cs="宋体"/>
          <w:snapToGrid w:val="0"/>
          <w:color w:val="000000"/>
          <w:kern w:val="0"/>
          <w:sz w:val="22"/>
          <w:szCs w:val="22"/>
          <w:highlight w:val="none"/>
          <w:u w:val="single" w:color="auto"/>
          <w:lang w:eastAsia="en-US"/>
        </w:rPr>
        <w:t xml:space="preserve">                    </w:t>
      </w:r>
    </w:p>
    <w:p w14:paraId="1325DAFC">
      <w:pPr>
        <w:pageBreakBefore w:val="0"/>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val="en-US" w:eastAsia="en-US" w:bidi="ar-SA"/>
        </w:rPr>
      </w:pPr>
    </w:p>
    <w:p w14:paraId="0C505C62">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80"/>
        <w:jc w:val="both"/>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依据《中华人民共和国民法典》、《中华人民共和国</w:t>
      </w:r>
      <w:r>
        <w:rPr>
          <w:rFonts w:hint="eastAsia" w:ascii="宋体" w:hAnsi="宋体" w:eastAsia="宋体" w:cs="宋体"/>
          <w:snapToGrid w:val="0"/>
          <w:color w:val="000000"/>
          <w:spacing w:val="-3"/>
          <w:kern w:val="0"/>
          <w:sz w:val="22"/>
          <w:szCs w:val="22"/>
          <w:highlight w:val="none"/>
          <w:lang w:eastAsia="en-US"/>
        </w:rPr>
        <w:t>政府采购法》、《中华人民共</w:t>
      </w:r>
      <w:r>
        <w:rPr>
          <w:rFonts w:hint="eastAsia" w:ascii="宋体" w:hAnsi="宋体" w:eastAsia="宋体" w:cs="宋体"/>
          <w:snapToGrid w:val="0"/>
          <w:color w:val="000000"/>
          <w:spacing w:val="-2"/>
          <w:kern w:val="0"/>
          <w:sz w:val="22"/>
          <w:szCs w:val="22"/>
          <w:highlight w:val="none"/>
          <w:lang w:eastAsia="en-US"/>
        </w:rPr>
        <w:t>和国政府采购法实施条例》等法律法规之规定，经甲乙双方协商，本</w:t>
      </w:r>
      <w:r>
        <w:rPr>
          <w:rFonts w:hint="eastAsia" w:ascii="宋体" w:hAnsi="宋体" w:eastAsia="宋体" w:cs="宋体"/>
          <w:snapToGrid w:val="0"/>
          <w:color w:val="000000"/>
          <w:spacing w:val="-3"/>
          <w:kern w:val="0"/>
          <w:sz w:val="22"/>
          <w:szCs w:val="22"/>
          <w:highlight w:val="none"/>
          <w:lang w:eastAsia="en-US"/>
        </w:rPr>
        <w:t>着合作互利、平等自愿的原则，订立本合同，以资共同遵守：</w:t>
      </w:r>
    </w:p>
    <w:p w14:paraId="4CC2B83C">
      <w:pPr>
        <w:pageBreakBefore w:val="0"/>
        <w:widowControl/>
        <w:numPr>
          <w:ilvl w:val="0"/>
          <w:numId w:val="1"/>
        </w:numPr>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spacing w:val="-1"/>
          <w:kern w:val="0"/>
          <w:sz w:val="22"/>
          <w:szCs w:val="22"/>
          <w:highlight w:val="none"/>
          <w:lang w:eastAsia="en-US"/>
        </w:rPr>
      </w:pPr>
      <w:bookmarkStart w:id="0" w:name="_Toc26634"/>
      <w:r>
        <w:rPr>
          <w:rFonts w:hint="eastAsia" w:ascii="宋体" w:hAnsi="宋体" w:eastAsia="宋体" w:cs="宋体"/>
          <w:snapToGrid w:val="0"/>
          <w:color w:val="000000"/>
          <w:spacing w:val="-1"/>
          <w:kern w:val="0"/>
          <w:sz w:val="22"/>
          <w:szCs w:val="22"/>
          <w:highlight w:val="none"/>
          <w:lang w:eastAsia="en-US"/>
        </w:rPr>
        <w:t>项目概况：</w:t>
      </w:r>
      <w:bookmarkEnd w:id="0"/>
    </w:p>
    <w:p w14:paraId="2CE22B1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80"/>
        <w:jc w:val="both"/>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val="en-US" w:eastAsia="zh-CN"/>
        </w:rPr>
        <w:t>按照全区域覆盖、全方位推进、一体化管理的原则，围绕“最大限度减少生活垃圾总量，加快推进资源循环综合利用”的总体目标，加快推进全区 102 个小区实现生活垃圾四分类，实现“六个有”（即有齐全的设施设备、有成熟的治理技术、有稳定的保洁队伍、有长效的资金保障、有完善的监管制度、有突出的治理实绩）。</w:t>
      </w:r>
    </w:p>
    <w:p w14:paraId="31050B43">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kern w:val="0"/>
          <w:sz w:val="22"/>
          <w:szCs w:val="22"/>
          <w:highlight w:val="none"/>
          <w:lang w:eastAsia="en-US"/>
        </w:rPr>
      </w:pPr>
      <w:bookmarkStart w:id="1" w:name="_Toc10063"/>
      <w:r>
        <w:rPr>
          <w:rFonts w:hint="eastAsia" w:ascii="宋体" w:hAnsi="宋体" w:eastAsia="宋体" w:cs="宋体"/>
          <w:snapToGrid w:val="0"/>
          <w:color w:val="000000"/>
          <w:spacing w:val="-2"/>
          <w:kern w:val="0"/>
          <w:sz w:val="22"/>
          <w:szCs w:val="22"/>
          <w:highlight w:val="none"/>
          <w:lang w:eastAsia="en-US"/>
        </w:rPr>
        <w:t>二、</w:t>
      </w:r>
      <w:r>
        <w:rPr>
          <w:rFonts w:hint="eastAsia" w:ascii="宋体" w:hAnsi="宋体" w:eastAsia="宋体" w:cs="宋体"/>
          <w:snapToGrid w:val="0"/>
          <w:color w:val="000000"/>
          <w:spacing w:val="-2"/>
          <w:kern w:val="0"/>
          <w:sz w:val="22"/>
          <w:szCs w:val="22"/>
          <w:highlight w:val="none"/>
          <w:lang w:eastAsia="zh-CN"/>
        </w:rPr>
        <w:t>服务期</w:t>
      </w:r>
      <w:r>
        <w:rPr>
          <w:rFonts w:hint="eastAsia" w:ascii="宋体" w:hAnsi="宋体" w:eastAsia="宋体" w:cs="宋体"/>
          <w:snapToGrid w:val="0"/>
          <w:color w:val="000000"/>
          <w:spacing w:val="-2"/>
          <w:kern w:val="0"/>
          <w:sz w:val="22"/>
          <w:szCs w:val="22"/>
          <w:highlight w:val="none"/>
          <w:lang w:eastAsia="en-US"/>
        </w:rPr>
        <w:t>：</w:t>
      </w:r>
      <w:bookmarkEnd w:id="1"/>
    </w:p>
    <w:p w14:paraId="48E55A3C">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12"/>
          <w:kern w:val="0"/>
          <w:sz w:val="22"/>
          <w:szCs w:val="22"/>
          <w:highlight w:val="none"/>
          <w:u w:val="single" w:color="auto"/>
          <w:lang w:eastAsia="en-US"/>
        </w:rPr>
        <w:t xml:space="preserve"> </w:t>
      </w:r>
      <w:r>
        <w:rPr>
          <w:rFonts w:hint="eastAsia" w:ascii="宋体" w:hAnsi="宋体" w:eastAsia="宋体" w:cs="宋体"/>
          <w:snapToGrid w:val="0"/>
          <w:color w:val="000000"/>
          <w:spacing w:val="-12"/>
          <w:kern w:val="0"/>
          <w:sz w:val="22"/>
          <w:szCs w:val="22"/>
          <w:highlight w:val="none"/>
          <w:u w:val="single" w:color="auto"/>
          <w:lang w:val="en-US" w:eastAsia="zh-CN"/>
        </w:rPr>
        <w:t xml:space="preserve">    </w:t>
      </w:r>
      <w:r>
        <w:rPr>
          <w:rFonts w:hint="eastAsia" w:ascii="宋体" w:hAnsi="宋体" w:eastAsia="宋体" w:cs="宋体"/>
          <w:snapToGrid w:val="0"/>
          <w:color w:val="000000"/>
          <w:spacing w:val="-12"/>
          <w:kern w:val="0"/>
          <w:sz w:val="22"/>
          <w:szCs w:val="22"/>
          <w:highlight w:val="none"/>
          <w:u w:val="single" w:color="auto"/>
          <w:lang w:eastAsia="en-US"/>
        </w:rPr>
        <w:t xml:space="preserve"> </w:t>
      </w:r>
      <w:r>
        <w:rPr>
          <w:rFonts w:hint="eastAsia" w:ascii="宋体" w:hAnsi="宋体" w:eastAsia="宋体" w:cs="宋体"/>
          <w:snapToGrid w:val="0"/>
          <w:color w:val="000000"/>
          <w:spacing w:val="-12"/>
          <w:kern w:val="0"/>
          <w:sz w:val="22"/>
          <w:szCs w:val="22"/>
          <w:highlight w:val="none"/>
          <w:u w:val="none" w:color="auto"/>
          <w:lang w:eastAsia="en-US"/>
        </w:rPr>
        <w:t>年</w:t>
      </w:r>
      <w:r>
        <w:rPr>
          <w:rFonts w:hint="eastAsia" w:ascii="宋体" w:hAnsi="宋体" w:eastAsia="宋体" w:cs="宋体"/>
          <w:snapToGrid w:val="0"/>
          <w:color w:val="000000"/>
          <w:spacing w:val="-12"/>
          <w:kern w:val="0"/>
          <w:sz w:val="22"/>
          <w:szCs w:val="22"/>
          <w:highlight w:val="none"/>
          <w:lang w:eastAsia="en-US"/>
        </w:rPr>
        <w:t>，</w:t>
      </w:r>
      <w:r>
        <w:rPr>
          <w:rFonts w:hint="eastAsia" w:ascii="宋体" w:hAnsi="宋体" w:eastAsia="宋体" w:cs="宋体"/>
          <w:snapToGrid w:val="0"/>
          <w:color w:val="000000"/>
          <w:spacing w:val="-55"/>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自</w:t>
      </w:r>
      <w:r>
        <w:rPr>
          <w:rFonts w:hint="eastAsia" w:ascii="宋体" w:hAnsi="宋体" w:eastAsia="宋体" w:cs="宋体"/>
          <w:snapToGrid w:val="0"/>
          <w:color w:val="000000"/>
          <w:spacing w:val="60"/>
          <w:kern w:val="0"/>
          <w:sz w:val="22"/>
          <w:szCs w:val="22"/>
          <w:highlight w:val="none"/>
          <w:u w:val="single" w:color="auto"/>
          <w:lang w:eastAsia="en-US"/>
        </w:rPr>
        <w:t xml:space="preserve">  </w:t>
      </w:r>
      <w:r>
        <w:rPr>
          <w:rFonts w:hint="eastAsia" w:ascii="宋体" w:hAnsi="宋体" w:eastAsia="宋体" w:cs="宋体"/>
          <w:snapToGrid w:val="0"/>
          <w:color w:val="000000"/>
          <w:spacing w:val="-109"/>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年</w:t>
      </w:r>
      <w:r>
        <w:rPr>
          <w:rFonts w:hint="eastAsia" w:ascii="宋体" w:hAnsi="宋体" w:eastAsia="宋体" w:cs="宋体"/>
          <w:snapToGrid w:val="0"/>
          <w:color w:val="000000"/>
          <w:spacing w:val="59"/>
          <w:kern w:val="0"/>
          <w:sz w:val="22"/>
          <w:szCs w:val="22"/>
          <w:highlight w:val="none"/>
          <w:u w:val="single" w:color="auto"/>
          <w:lang w:eastAsia="en-US"/>
        </w:rPr>
        <w:t xml:space="preserve">  </w:t>
      </w:r>
      <w:r>
        <w:rPr>
          <w:rFonts w:hint="eastAsia" w:ascii="宋体" w:hAnsi="宋体" w:eastAsia="宋体" w:cs="宋体"/>
          <w:snapToGrid w:val="0"/>
          <w:color w:val="000000"/>
          <w:spacing w:val="-103"/>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月</w:t>
      </w:r>
      <w:r>
        <w:rPr>
          <w:rFonts w:hint="eastAsia" w:ascii="宋体" w:hAnsi="宋体" w:eastAsia="宋体" w:cs="宋体"/>
          <w:snapToGrid w:val="0"/>
          <w:color w:val="000000"/>
          <w:spacing w:val="59"/>
          <w:kern w:val="0"/>
          <w:sz w:val="22"/>
          <w:szCs w:val="22"/>
          <w:highlight w:val="none"/>
          <w:u w:val="single" w:color="auto"/>
          <w:lang w:eastAsia="en-US"/>
        </w:rPr>
        <w:t xml:space="preserve">  </w:t>
      </w:r>
      <w:r>
        <w:rPr>
          <w:rFonts w:hint="eastAsia" w:ascii="宋体" w:hAnsi="宋体" w:eastAsia="宋体" w:cs="宋体"/>
          <w:snapToGrid w:val="0"/>
          <w:color w:val="000000"/>
          <w:spacing w:val="-67"/>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日至</w:t>
      </w:r>
      <w:r>
        <w:rPr>
          <w:rFonts w:hint="eastAsia" w:ascii="宋体" w:hAnsi="宋体" w:eastAsia="宋体" w:cs="宋体"/>
          <w:snapToGrid w:val="0"/>
          <w:color w:val="000000"/>
          <w:spacing w:val="59"/>
          <w:kern w:val="0"/>
          <w:sz w:val="22"/>
          <w:szCs w:val="22"/>
          <w:highlight w:val="none"/>
          <w:u w:val="single" w:color="auto"/>
          <w:lang w:eastAsia="en-US"/>
        </w:rPr>
        <w:t xml:space="preserve">  </w:t>
      </w:r>
      <w:r>
        <w:rPr>
          <w:rFonts w:hint="eastAsia" w:ascii="宋体" w:hAnsi="宋体" w:eastAsia="宋体" w:cs="宋体"/>
          <w:snapToGrid w:val="0"/>
          <w:color w:val="000000"/>
          <w:spacing w:val="-108"/>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年</w:t>
      </w:r>
      <w:r>
        <w:rPr>
          <w:rFonts w:hint="eastAsia" w:ascii="宋体" w:hAnsi="宋体" w:eastAsia="宋体" w:cs="宋体"/>
          <w:snapToGrid w:val="0"/>
          <w:color w:val="000000"/>
          <w:spacing w:val="59"/>
          <w:kern w:val="0"/>
          <w:sz w:val="22"/>
          <w:szCs w:val="22"/>
          <w:highlight w:val="none"/>
          <w:u w:val="single" w:color="auto"/>
          <w:lang w:eastAsia="en-US"/>
        </w:rPr>
        <w:t xml:space="preserve">  </w:t>
      </w:r>
      <w:r>
        <w:rPr>
          <w:rFonts w:hint="eastAsia" w:ascii="宋体" w:hAnsi="宋体" w:eastAsia="宋体" w:cs="宋体"/>
          <w:snapToGrid w:val="0"/>
          <w:color w:val="000000"/>
          <w:spacing w:val="-103"/>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月</w:t>
      </w:r>
      <w:r>
        <w:rPr>
          <w:rFonts w:hint="eastAsia" w:ascii="宋体" w:hAnsi="宋体" w:eastAsia="宋体" w:cs="宋体"/>
          <w:snapToGrid w:val="0"/>
          <w:color w:val="000000"/>
          <w:spacing w:val="60"/>
          <w:kern w:val="0"/>
          <w:sz w:val="22"/>
          <w:szCs w:val="22"/>
          <w:highlight w:val="none"/>
          <w:u w:val="single" w:color="auto"/>
          <w:lang w:eastAsia="en-US"/>
        </w:rPr>
        <w:t xml:space="preserve">  </w:t>
      </w:r>
      <w:r>
        <w:rPr>
          <w:rFonts w:hint="eastAsia" w:ascii="宋体" w:hAnsi="宋体" w:eastAsia="宋体" w:cs="宋体"/>
          <w:snapToGrid w:val="0"/>
          <w:color w:val="000000"/>
          <w:spacing w:val="-69"/>
          <w:kern w:val="0"/>
          <w:sz w:val="22"/>
          <w:szCs w:val="22"/>
          <w:highlight w:val="none"/>
          <w:lang w:eastAsia="en-US"/>
        </w:rPr>
        <w:t xml:space="preserve"> </w:t>
      </w:r>
      <w:r>
        <w:rPr>
          <w:rFonts w:hint="eastAsia" w:ascii="宋体" w:hAnsi="宋体" w:eastAsia="宋体" w:cs="宋体"/>
          <w:snapToGrid w:val="0"/>
          <w:color w:val="000000"/>
          <w:spacing w:val="-12"/>
          <w:kern w:val="0"/>
          <w:sz w:val="22"/>
          <w:szCs w:val="22"/>
          <w:highlight w:val="none"/>
          <w:lang w:eastAsia="en-US"/>
        </w:rPr>
        <w:t>日。</w:t>
      </w:r>
    </w:p>
    <w:p w14:paraId="45983322">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spacing w:val="-1"/>
          <w:kern w:val="0"/>
          <w:sz w:val="22"/>
          <w:szCs w:val="22"/>
          <w:highlight w:val="none"/>
          <w:lang w:eastAsia="en-US"/>
        </w:rPr>
      </w:pPr>
      <w:bookmarkStart w:id="2" w:name="_Toc29686"/>
      <w:r>
        <w:rPr>
          <w:rFonts w:hint="eastAsia" w:ascii="宋体" w:hAnsi="宋体" w:eastAsia="宋体" w:cs="宋体"/>
          <w:snapToGrid w:val="0"/>
          <w:color w:val="000000"/>
          <w:spacing w:val="-1"/>
          <w:kern w:val="0"/>
          <w:sz w:val="22"/>
          <w:szCs w:val="22"/>
          <w:highlight w:val="none"/>
          <w:lang w:eastAsia="en-US"/>
        </w:rPr>
        <w:t>三、服务内容：</w:t>
      </w:r>
      <w:bookmarkEnd w:id="2"/>
    </w:p>
    <w:p w14:paraId="048C4D9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32" w:firstLineChars="200"/>
        <w:jc w:val="left"/>
        <w:textAlignment w:val="baseline"/>
        <w:outlineLvl w:val="2"/>
        <w:rPr>
          <w:rFonts w:hint="eastAsia" w:ascii="宋体" w:hAnsi="宋体" w:eastAsia="宋体" w:cs="宋体"/>
          <w:snapToGrid w:val="0"/>
          <w:color w:val="000000"/>
          <w:spacing w:val="-2"/>
          <w:kern w:val="0"/>
          <w:sz w:val="22"/>
          <w:szCs w:val="22"/>
          <w:highlight w:val="none"/>
          <w:lang w:eastAsia="en-US"/>
        </w:rPr>
      </w:pPr>
      <w:bookmarkStart w:id="3" w:name="_Toc13392"/>
      <w:r>
        <w:rPr>
          <w:rFonts w:hint="eastAsia" w:ascii="宋体" w:hAnsi="宋体" w:eastAsia="宋体" w:cs="宋体"/>
          <w:snapToGrid w:val="0"/>
          <w:color w:val="000000"/>
          <w:spacing w:val="-2"/>
          <w:kern w:val="0"/>
          <w:sz w:val="22"/>
          <w:szCs w:val="22"/>
          <w:highlight w:val="none"/>
          <w:lang w:eastAsia="en-US"/>
        </w:rPr>
        <w:t>（一）人员配备</w:t>
      </w:r>
      <w:bookmarkEnd w:id="3"/>
    </w:p>
    <w:p w14:paraId="0BFBEFE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32" w:firstLineChars="200"/>
        <w:jc w:val="left"/>
        <w:textAlignment w:val="baseline"/>
        <w:rPr>
          <w:rFonts w:hint="default" w:ascii="宋体" w:hAnsi="宋体" w:eastAsia="宋体" w:cs="宋体"/>
          <w:snapToGrid w:val="0"/>
          <w:color w:val="000000"/>
          <w:kern w:val="0"/>
          <w:sz w:val="22"/>
          <w:szCs w:val="22"/>
          <w:highlight w:val="none"/>
          <w:lang w:val="en-US" w:eastAsia="zh-CN"/>
        </w:rPr>
      </w:pPr>
      <w:r>
        <w:rPr>
          <w:rFonts w:hint="eastAsia" w:ascii="宋体" w:hAnsi="宋体" w:eastAsia="宋体" w:cs="宋体"/>
          <w:snapToGrid w:val="0"/>
          <w:color w:val="000000"/>
          <w:spacing w:val="-2"/>
          <w:kern w:val="0"/>
          <w:sz w:val="22"/>
          <w:szCs w:val="22"/>
          <w:highlight w:val="none"/>
          <w:lang w:val="en-US" w:eastAsia="zh-CN"/>
        </w:rPr>
        <w:t>乙方保证配备完成本项目服务的相关人员。</w:t>
      </w:r>
    </w:p>
    <w:p w14:paraId="4F8F7AD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kern w:val="0"/>
          <w:sz w:val="22"/>
          <w:szCs w:val="22"/>
          <w:highlight w:val="none"/>
          <w:lang w:eastAsia="en-US"/>
        </w:rPr>
      </w:pPr>
      <w:bookmarkStart w:id="4" w:name="_Toc28484"/>
      <w:r>
        <w:rPr>
          <w:rFonts w:hint="eastAsia" w:ascii="宋体" w:hAnsi="宋体" w:eastAsia="宋体" w:cs="宋体"/>
          <w:snapToGrid w:val="0"/>
          <w:color w:val="000000"/>
          <w:spacing w:val="-2"/>
          <w:kern w:val="0"/>
          <w:sz w:val="22"/>
          <w:szCs w:val="22"/>
          <w:highlight w:val="none"/>
          <w:lang w:eastAsia="en-US"/>
        </w:rPr>
        <w:t>（二）</w:t>
      </w:r>
      <w:bookmarkEnd w:id="4"/>
      <w:r>
        <w:rPr>
          <w:rFonts w:hint="eastAsia" w:ascii="宋体" w:hAnsi="宋体" w:eastAsia="宋体" w:cs="宋体"/>
          <w:snapToGrid w:val="0"/>
          <w:color w:val="000000"/>
          <w:spacing w:val="-3"/>
          <w:kern w:val="0"/>
          <w:sz w:val="22"/>
          <w:szCs w:val="22"/>
          <w:highlight w:val="none"/>
          <w:lang w:eastAsia="en-US"/>
        </w:rPr>
        <w:t>硬件</w:t>
      </w:r>
      <w:r>
        <w:rPr>
          <w:rFonts w:hint="eastAsia" w:ascii="宋体" w:hAnsi="宋体" w:eastAsia="宋体" w:cs="宋体"/>
          <w:snapToGrid w:val="0"/>
          <w:color w:val="000000"/>
          <w:spacing w:val="-2"/>
          <w:kern w:val="0"/>
          <w:sz w:val="22"/>
          <w:szCs w:val="22"/>
          <w:highlight w:val="none"/>
          <w:lang w:eastAsia="en-US"/>
        </w:rPr>
        <w:t>投资建设</w:t>
      </w:r>
    </w:p>
    <w:tbl>
      <w:tblPr>
        <w:tblStyle w:val="2"/>
        <w:tblW w:w="831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56"/>
        <w:gridCol w:w="2322"/>
        <w:gridCol w:w="1363"/>
        <w:gridCol w:w="1183"/>
        <w:gridCol w:w="1194"/>
      </w:tblGrid>
      <w:tr w14:paraId="78B05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578" w:type="dxa"/>
            <w:gridSpan w:val="2"/>
            <w:vMerge w:val="restart"/>
            <w:tcBorders>
              <w:top w:val="single" w:color="000000" w:sz="4" w:space="0"/>
              <w:left w:val="single" w:color="000000" w:sz="4" w:space="0"/>
              <w:bottom w:val="single" w:color="000000" w:sz="4" w:space="0"/>
              <w:right w:val="single" w:color="000000" w:sz="4" w:space="0"/>
            </w:tcBorders>
            <w:noWrap w:val="0"/>
            <w:vAlign w:val="center"/>
          </w:tcPr>
          <w:p w14:paraId="5ADA62A1">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项目内容</w:t>
            </w:r>
          </w:p>
        </w:tc>
        <w:tc>
          <w:tcPr>
            <w:tcW w:w="1363" w:type="dxa"/>
            <w:vMerge w:val="restart"/>
            <w:tcBorders>
              <w:top w:val="single" w:color="000000" w:sz="4" w:space="0"/>
              <w:left w:val="single" w:color="000000" w:sz="4" w:space="0"/>
              <w:bottom w:val="single" w:color="000000" w:sz="4" w:space="0"/>
              <w:right w:val="single" w:color="000000" w:sz="4" w:space="0"/>
            </w:tcBorders>
            <w:noWrap w:val="0"/>
            <w:vAlign w:val="center"/>
          </w:tcPr>
          <w:p w14:paraId="232FC8C7">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尺寸(米)</w:t>
            </w:r>
          </w:p>
        </w:tc>
        <w:tc>
          <w:tcPr>
            <w:tcW w:w="1183" w:type="dxa"/>
            <w:vMerge w:val="restart"/>
            <w:tcBorders>
              <w:top w:val="single" w:color="000000" w:sz="4" w:space="0"/>
              <w:left w:val="single" w:color="000000" w:sz="4" w:space="0"/>
              <w:bottom w:val="single" w:color="000000" w:sz="4" w:space="0"/>
              <w:right w:val="single" w:color="000000" w:sz="4" w:space="0"/>
            </w:tcBorders>
            <w:noWrap w:val="0"/>
            <w:vAlign w:val="center"/>
          </w:tcPr>
          <w:p w14:paraId="17F53666">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数量</w:t>
            </w:r>
          </w:p>
        </w:tc>
        <w:tc>
          <w:tcPr>
            <w:tcW w:w="1194" w:type="dxa"/>
            <w:vMerge w:val="restart"/>
            <w:tcBorders>
              <w:top w:val="single" w:color="000000" w:sz="4" w:space="0"/>
              <w:left w:val="single" w:color="000000" w:sz="4" w:space="0"/>
              <w:bottom w:val="single" w:color="000000" w:sz="4" w:space="0"/>
              <w:right w:val="single" w:color="000000" w:sz="4" w:space="0"/>
            </w:tcBorders>
            <w:noWrap w:val="0"/>
            <w:vAlign w:val="center"/>
          </w:tcPr>
          <w:p w14:paraId="67C40CBC">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35C06E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4578" w:type="dxa"/>
            <w:gridSpan w:val="2"/>
            <w:vMerge w:val="continue"/>
            <w:tcBorders>
              <w:top w:val="single" w:color="000000" w:sz="4" w:space="0"/>
              <w:left w:val="single" w:color="000000" w:sz="4" w:space="0"/>
              <w:bottom w:val="single" w:color="000000" w:sz="4" w:space="0"/>
              <w:right w:val="single" w:color="000000" w:sz="4" w:space="0"/>
            </w:tcBorders>
            <w:noWrap w:val="0"/>
            <w:vAlign w:val="center"/>
          </w:tcPr>
          <w:p w14:paraId="0A7E9D05">
            <w:pPr>
              <w:spacing w:line="360" w:lineRule="auto"/>
              <w:jc w:val="center"/>
              <w:rPr>
                <w:rFonts w:hint="eastAsia" w:ascii="宋体" w:hAnsi="宋体" w:eastAsia="宋体" w:cs="宋体"/>
                <w:b/>
                <w:bCs/>
                <w:i w:val="0"/>
                <w:iCs w:val="0"/>
                <w:color w:val="000000"/>
                <w:sz w:val="22"/>
                <w:szCs w:val="22"/>
                <w:u w:val="none"/>
              </w:rPr>
            </w:pPr>
          </w:p>
        </w:tc>
        <w:tc>
          <w:tcPr>
            <w:tcW w:w="1363" w:type="dxa"/>
            <w:vMerge w:val="continue"/>
            <w:tcBorders>
              <w:top w:val="single" w:color="000000" w:sz="4" w:space="0"/>
              <w:left w:val="single" w:color="000000" w:sz="4" w:space="0"/>
              <w:bottom w:val="single" w:color="000000" w:sz="4" w:space="0"/>
              <w:right w:val="single" w:color="000000" w:sz="4" w:space="0"/>
            </w:tcBorders>
            <w:noWrap w:val="0"/>
            <w:vAlign w:val="center"/>
          </w:tcPr>
          <w:p w14:paraId="14178DD0">
            <w:pPr>
              <w:spacing w:line="360" w:lineRule="auto"/>
              <w:jc w:val="center"/>
              <w:rPr>
                <w:rFonts w:hint="eastAsia" w:ascii="宋体" w:hAnsi="宋体" w:eastAsia="宋体" w:cs="宋体"/>
                <w:b/>
                <w:bCs/>
                <w:i w:val="0"/>
                <w:iCs w:val="0"/>
                <w:color w:val="000000"/>
                <w:sz w:val="22"/>
                <w:szCs w:val="22"/>
                <w:u w:val="none"/>
              </w:rPr>
            </w:pPr>
          </w:p>
        </w:tc>
        <w:tc>
          <w:tcPr>
            <w:tcW w:w="1183" w:type="dxa"/>
            <w:vMerge w:val="continue"/>
            <w:tcBorders>
              <w:top w:val="single" w:color="000000" w:sz="4" w:space="0"/>
              <w:left w:val="single" w:color="000000" w:sz="4" w:space="0"/>
              <w:bottom w:val="single" w:color="000000" w:sz="4" w:space="0"/>
              <w:right w:val="single" w:color="000000" w:sz="4" w:space="0"/>
            </w:tcBorders>
            <w:noWrap w:val="0"/>
            <w:vAlign w:val="center"/>
          </w:tcPr>
          <w:p w14:paraId="6F491B8B">
            <w:pPr>
              <w:spacing w:line="360" w:lineRule="auto"/>
              <w:jc w:val="center"/>
              <w:rPr>
                <w:rFonts w:hint="eastAsia" w:ascii="宋体" w:hAnsi="宋体" w:eastAsia="宋体" w:cs="宋体"/>
                <w:b/>
                <w:bCs/>
                <w:i w:val="0"/>
                <w:iCs w:val="0"/>
                <w:color w:val="000000"/>
                <w:sz w:val="22"/>
                <w:szCs w:val="22"/>
                <w:u w:val="none"/>
              </w:rPr>
            </w:pPr>
          </w:p>
        </w:tc>
        <w:tc>
          <w:tcPr>
            <w:tcW w:w="1194"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E9D285">
            <w:pPr>
              <w:spacing w:line="360" w:lineRule="auto"/>
              <w:jc w:val="center"/>
              <w:rPr>
                <w:rFonts w:hint="eastAsia" w:ascii="宋体" w:hAnsi="宋体" w:eastAsia="宋体" w:cs="宋体"/>
                <w:b/>
                <w:bCs/>
                <w:i w:val="0"/>
                <w:iCs w:val="0"/>
                <w:color w:val="000000"/>
                <w:sz w:val="22"/>
                <w:szCs w:val="22"/>
                <w:u w:val="none"/>
              </w:rPr>
            </w:pPr>
          </w:p>
        </w:tc>
      </w:tr>
      <w:tr w14:paraId="3A5114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256" w:type="dxa"/>
            <w:vMerge w:val="restart"/>
            <w:tcBorders>
              <w:top w:val="single" w:color="000000" w:sz="4" w:space="0"/>
              <w:left w:val="single" w:color="000000" w:sz="4" w:space="0"/>
              <w:bottom w:val="single" w:color="000000" w:sz="4" w:space="0"/>
              <w:right w:val="single" w:color="000000" w:sz="4" w:space="0"/>
            </w:tcBorders>
            <w:noWrap w:val="0"/>
            <w:vAlign w:val="center"/>
          </w:tcPr>
          <w:p w14:paraId="578A4CA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1.垃圾收集房</w:t>
            </w:r>
          </w:p>
        </w:tc>
        <w:tc>
          <w:tcPr>
            <w:tcW w:w="2322" w:type="dxa"/>
            <w:tcBorders>
              <w:top w:val="single" w:color="000000" w:sz="4" w:space="0"/>
              <w:left w:val="single" w:color="000000" w:sz="4" w:space="0"/>
              <w:bottom w:val="single" w:color="000000" w:sz="4" w:space="0"/>
              <w:right w:val="single" w:color="000000" w:sz="4" w:space="0"/>
            </w:tcBorders>
            <w:noWrap w:val="0"/>
            <w:vAlign w:val="center"/>
          </w:tcPr>
          <w:p w14:paraId="3351C5D9">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(1)收集房主体</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03CA5CA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4*3*3</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68CF226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644C368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座</w:t>
            </w:r>
          </w:p>
        </w:tc>
      </w:tr>
      <w:tr w14:paraId="763C6B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0649DF6">
            <w:pPr>
              <w:spacing w:line="360" w:lineRule="auto"/>
              <w:jc w:val="center"/>
              <w:rPr>
                <w:rFonts w:hint="eastAsia" w:ascii="宋体" w:hAnsi="宋体" w:eastAsia="宋体" w:cs="宋体"/>
                <w:i w:val="0"/>
                <w:iCs w:val="0"/>
                <w:color w:val="000000"/>
                <w:sz w:val="22"/>
                <w:szCs w:val="22"/>
                <w:u w:val="none"/>
              </w:rPr>
            </w:pPr>
          </w:p>
        </w:tc>
        <w:tc>
          <w:tcPr>
            <w:tcW w:w="3685" w:type="dxa"/>
            <w:gridSpan w:val="2"/>
            <w:tcBorders>
              <w:top w:val="single" w:color="000000" w:sz="4" w:space="0"/>
              <w:left w:val="single" w:color="000000" w:sz="4" w:space="0"/>
              <w:bottom w:val="single" w:color="000000" w:sz="4" w:space="0"/>
              <w:right w:val="single" w:color="000000" w:sz="4" w:space="0"/>
            </w:tcBorders>
            <w:noWrap w:val="0"/>
            <w:vAlign w:val="center"/>
          </w:tcPr>
          <w:p w14:paraId="47D37081">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(2)基础及地面硬化</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6EB4E9A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164F41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0FE02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86F7DC">
            <w:pPr>
              <w:spacing w:line="360" w:lineRule="auto"/>
              <w:jc w:val="center"/>
              <w:rPr>
                <w:rFonts w:hint="eastAsia" w:ascii="宋体" w:hAnsi="宋体" w:eastAsia="宋体" w:cs="宋体"/>
                <w:i w:val="0"/>
                <w:iCs w:val="0"/>
                <w:color w:val="000000"/>
                <w:sz w:val="22"/>
                <w:szCs w:val="22"/>
                <w:u w:val="none"/>
              </w:rPr>
            </w:pPr>
          </w:p>
        </w:tc>
        <w:tc>
          <w:tcPr>
            <w:tcW w:w="3685" w:type="dxa"/>
            <w:gridSpan w:val="2"/>
            <w:tcBorders>
              <w:top w:val="single" w:color="000000" w:sz="4" w:space="0"/>
              <w:left w:val="single" w:color="000000" w:sz="4" w:space="0"/>
              <w:bottom w:val="single" w:color="000000" w:sz="4" w:space="0"/>
              <w:right w:val="single" w:color="000000" w:sz="4" w:space="0"/>
            </w:tcBorders>
            <w:noWrap w:val="0"/>
            <w:vAlign w:val="center"/>
          </w:tcPr>
          <w:p w14:paraId="35C0E11E">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(3)引线路</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64B18BA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7C0A28B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029E11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15126899">
            <w:pPr>
              <w:spacing w:line="360" w:lineRule="auto"/>
              <w:jc w:val="center"/>
              <w:rPr>
                <w:rFonts w:hint="eastAsia" w:ascii="宋体" w:hAnsi="宋体" w:eastAsia="宋体" w:cs="宋体"/>
                <w:i w:val="0"/>
                <w:iCs w:val="0"/>
                <w:color w:val="000000"/>
                <w:sz w:val="22"/>
                <w:szCs w:val="22"/>
                <w:u w:val="none"/>
              </w:rPr>
            </w:pPr>
          </w:p>
        </w:tc>
        <w:tc>
          <w:tcPr>
            <w:tcW w:w="3685" w:type="dxa"/>
            <w:gridSpan w:val="2"/>
            <w:tcBorders>
              <w:top w:val="single" w:color="000000" w:sz="4" w:space="0"/>
              <w:left w:val="single" w:color="000000" w:sz="4" w:space="0"/>
              <w:bottom w:val="single" w:color="000000" w:sz="4" w:space="0"/>
              <w:right w:val="single" w:color="000000" w:sz="4" w:space="0"/>
            </w:tcBorders>
            <w:noWrap w:val="0"/>
            <w:vAlign w:val="center"/>
          </w:tcPr>
          <w:p w14:paraId="5CA3A2C1">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(4)分类垃圾桶</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73EE2FD8">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12</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33DA68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6589D9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256" w:type="dxa"/>
            <w:vMerge w:val="restart"/>
            <w:tcBorders>
              <w:top w:val="single" w:color="000000" w:sz="4" w:space="0"/>
              <w:left w:val="single" w:color="000000" w:sz="4" w:space="0"/>
              <w:bottom w:val="single" w:color="000000" w:sz="4" w:space="0"/>
              <w:right w:val="single" w:color="000000" w:sz="4" w:space="0"/>
            </w:tcBorders>
            <w:noWrap w:val="0"/>
            <w:vAlign w:val="center"/>
          </w:tcPr>
          <w:p w14:paraId="3566034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2.垃圾收集亭</w:t>
            </w:r>
          </w:p>
        </w:tc>
        <w:tc>
          <w:tcPr>
            <w:tcW w:w="2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59144CE4">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(1)收集亭主体</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5F354664">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6*1.2*2.4</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489C56B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109373B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座</w:t>
            </w:r>
          </w:p>
        </w:tc>
      </w:tr>
      <w:tr w14:paraId="14BC71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22220080">
            <w:pPr>
              <w:spacing w:line="360" w:lineRule="auto"/>
              <w:jc w:val="center"/>
              <w:rPr>
                <w:rFonts w:hint="eastAsia" w:ascii="宋体" w:hAnsi="宋体" w:eastAsia="宋体" w:cs="宋体"/>
                <w:i w:val="0"/>
                <w:iCs w:val="0"/>
                <w:color w:val="000000"/>
                <w:sz w:val="22"/>
                <w:szCs w:val="22"/>
                <w:u w:val="none"/>
              </w:rPr>
            </w:pPr>
          </w:p>
        </w:tc>
        <w:tc>
          <w:tcPr>
            <w:tcW w:w="2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291153AF">
            <w:pPr>
              <w:spacing w:line="360" w:lineRule="auto"/>
              <w:jc w:val="left"/>
              <w:rPr>
                <w:rFonts w:hint="eastAsia" w:ascii="宋体" w:hAnsi="宋体" w:eastAsia="宋体" w:cs="宋体"/>
                <w:i w:val="0"/>
                <w:iCs w:val="0"/>
                <w:color w:val="000000"/>
                <w:sz w:val="22"/>
                <w:szCs w:val="22"/>
                <w:u w:val="none"/>
              </w:rPr>
            </w:pP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5764BC5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4*1.2*2.4</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13ED91B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50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4AC581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座</w:t>
            </w:r>
          </w:p>
        </w:tc>
      </w:tr>
      <w:tr w14:paraId="16594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6E97F794">
            <w:pPr>
              <w:spacing w:line="360" w:lineRule="auto"/>
              <w:jc w:val="center"/>
              <w:rPr>
                <w:rFonts w:hint="eastAsia" w:ascii="宋体" w:hAnsi="宋体" w:eastAsia="宋体" w:cs="宋体"/>
                <w:i w:val="0"/>
                <w:iCs w:val="0"/>
                <w:color w:val="000000"/>
                <w:sz w:val="22"/>
                <w:szCs w:val="22"/>
                <w:u w:val="none"/>
              </w:rPr>
            </w:pPr>
          </w:p>
        </w:tc>
        <w:tc>
          <w:tcPr>
            <w:tcW w:w="2322" w:type="dxa"/>
            <w:tcBorders>
              <w:top w:val="single" w:color="000000" w:sz="4" w:space="0"/>
              <w:left w:val="single" w:color="000000" w:sz="4" w:space="0"/>
              <w:bottom w:val="single" w:color="000000" w:sz="4" w:space="0"/>
              <w:right w:val="single" w:color="000000" w:sz="4" w:space="0"/>
            </w:tcBorders>
            <w:noWrap w:val="0"/>
            <w:vAlign w:val="center"/>
          </w:tcPr>
          <w:p w14:paraId="04DD506F">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(2)基础及地面硬化</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5C135A64">
            <w:pPr>
              <w:spacing w:line="360" w:lineRule="auto"/>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437AD6F9">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3017CC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127EEE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AE6FBC7">
            <w:pPr>
              <w:spacing w:line="360" w:lineRule="auto"/>
              <w:jc w:val="center"/>
              <w:rPr>
                <w:rFonts w:hint="eastAsia" w:ascii="宋体" w:hAnsi="宋体" w:eastAsia="宋体" w:cs="宋体"/>
                <w:i w:val="0"/>
                <w:iCs w:val="0"/>
                <w:color w:val="000000"/>
                <w:sz w:val="22"/>
                <w:szCs w:val="22"/>
                <w:u w:val="none"/>
              </w:rPr>
            </w:pPr>
          </w:p>
        </w:tc>
        <w:tc>
          <w:tcPr>
            <w:tcW w:w="2322" w:type="dxa"/>
            <w:tcBorders>
              <w:top w:val="single" w:color="000000" w:sz="4" w:space="0"/>
              <w:left w:val="single" w:color="000000" w:sz="4" w:space="0"/>
              <w:bottom w:val="single" w:color="000000" w:sz="4" w:space="0"/>
              <w:right w:val="single" w:color="000000" w:sz="4" w:space="0"/>
            </w:tcBorders>
            <w:noWrap w:val="0"/>
            <w:vAlign w:val="center"/>
          </w:tcPr>
          <w:p w14:paraId="3444DC92">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(3)引线路</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28302DE4">
            <w:pPr>
              <w:spacing w:line="360" w:lineRule="auto"/>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29583BFE">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64268B8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套</w:t>
            </w:r>
          </w:p>
        </w:tc>
      </w:tr>
      <w:tr w14:paraId="45B078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418723F8">
            <w:pPr>
              <w:spacing w:line="360" w:lineRule="auto"/>
              <w:jc w:val="center"/>
              <w:rPr>
                <w:rFonts w:hint="eastAsia" w:ascii="宋体" w:hAnsi="宋体" w:eastAsia="宋体" w:cs="宋体"/>
                <w:i w:val="0"/>
                <w:iCs w:val="0"/>
                <w:color w:val="000000"/>
                <w:sz w:val="22"/>
                <w:szCs w:val="22"/>
                <w:u w:val="none"/>
              </w:rPr>
            </w:pPr>
          </w:p>
        </w:tc>
        <w:tc>
          <w:tcPr>
            <w:tcW w:w="2322" w:type="dxa"/>
            <w:vMerge w:val="restart"/>
            <w:tcBorders>
              <w:top w:val="single" w:color="000000" w:sz="4" w:space="0"/>
              <w:left w:val="single" w:color="000000" w:sz="4" w:space="0"/>
              <w:bottom w:val="single" w:color="000000" w:sz="4" w:space="0"/>
              <w:right w:val="single" w:color="000000" w:sz="4" w:space="0"/>
            </w:tcBorders>
            <w:noWrap w:val="0"/>
            <w:vAlign w:val="center"/>
          </w:tcPr>
          <w:p w14:paraId="757DBED6">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(4)分类垃圾桶</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6F0BE00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6*1.2*2.4</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217C5CE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6</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536855B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4D420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6" w:hRule="atLeast"/>
        </w:trPr>
        <w:tc>
          <w:tcPr>
            <w:tcW w:w="2256" w:type="dxa"/>
            <w:vMerge w:val="continue"/>
            <w:tcBorders>
              <w:top w:val="single" w:color="000000" w:sz="4" w:space="0"/>
              <w:left w:val="single" w:color="000000" w:sz="4" w:space="0"/>
              <w:bottom w:val="single" w:color="000000" w:sz="4" w:space="0"/>
              <w:right w:val="single" w:color="000000" w:sz="4" w:space="0"/>
            </w:tcBorders>
            <w:noWrap w:val="0"/>
            <w:vAlign w:val="center"/>
          </w:tcPr>
          <w:p w14:paraId="52EBD558">
            <w:pPr>
              <w:spacing w:line="360" w:lineRule="auto"/>
              <w:jc w:val="center"/>
              <w:rPr>
                <w:rFonts w:hint="eastAsia" w:ascii="宋体" w:hAnsi="宋体" w:eastAsia="宋体" w:cs="宋体"/>
                <w:i w:val="0"/>
                <w:iCs w:val="0"/>
                <w:color w:val="000000"/>
                <w:sz w:val="22"/>
                <w:szCs w:val="22"/>
                <w:u w:val="none"/>
              </w:rPr>
            </w:pPr>
          </w:p>
        </w:tc>
        <w:tc>
          <w:tcPr>
            <w:tcW w:w="2322" w:type="dxa"/>
            <w:vMerge w:val="continue"/>
            <w:tcBorders>
              <w:top w:val="single" w:color="000000" w:sz="4" w:space="0"/>
              <w:left w:val="single" w:color="000000" w:sz="4" w:space="0"/>
              <w:bottom w:val="single" w:color="000000" w:sz="4" w:space="0"/>
              <w:right w:val="single" w:color="000000" w:sz="4" w:space="0"/>
            </w:tcBorders>
            <w:noWrap w:val="0"/>
            <w:vAlign w:val="center"/>
          </w:tcPr>
          <w:p w14:paraId="486D9E24">
            <w:pPr>
              <w:spacing w:line="360" w:lineRule="auto"/>
              <w:jc w:val="left"/>
              <w:rPr>
                <w:rFonts w:hint="eastAsia" w:ascii="宋体" w:hAnsi="宋体" w:eastAsia="宋体" w:cs="宋体"/>
                <w:i w:val="0"/>
                <w:iCs w:val="0"/>
                <w:color w:val="000000"/>
                <w:sz w:val="22"/>
                <w:szCs w:val="22"/>
                <w:u w:val="none"/>
              </w:rPr>
            </w:pP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60935D3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4*1.2*2.4</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042C931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8</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0F799EE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49F155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4578" w:type="dxa"/>
            <w:gridSpan w:val="2"/>
            <w:tcBorders>
              <w:top w:val="single" w:color="000000" w:sz="4" w:space="0"/>
              <w:left w:val="single" w:color="000000" w:sz="4" w:space="0"/>
              <w:bottom w:val="single" w:color="000000" w:sz="4" w:space="0"/>
              <w:right w:val="single" w:color="000000" w:sz="4" w:space="0"/>
            </w:tcBorders>
            <w:noWrap w:val="0"/>
            <w:vAlign w:val="center"/>
          </w:tcPr>
          <w:p w14:paraId="163DBA65">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3.更新主次干道垃圾桶</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083F1035">
            <w:pPr>
              <w:spacing w:line="360" w:lineRule="auto"/>
              <w:jc w:val="center"/>
              <w:rPr>
                <w:rFonts w:hint="eastAsia" w:ascii="宋体" w:hAnsi="宋体" w:eastAsia="宋体" w:cs="宋体"/>
                <w:i w:val="0"/>
                <w:iCs w:val="0"/>
                <w:color w:val="000000"/>
                <w:sz w:val="22"/>
                <w:szCs w:val="22"/>
                <w:u w:val="none"/>
                <w:lang w:val="en-US" w:eastAsia="zh-CN"/>
              </w:rPr>
            </w:pPr>
            <w:r>
              <w:rPr>
                <w:rFonts w:hint="eastAsia" w:ascii="宋体" w:hAnsi="宋体" w:eastAsia="宋体" w:cs="宋体"/>
                <w:i w:val="0"/>
                <w:iCs w:val="0"/>
                <w:color w:val="000000"/>
                <w:sz w:val="22"/>
                <w:szCs w:val="22"/>
                <w:u w:val="none"/>
                <w:lang w:val="en-US" w:eastAsia="zh-CN"/>
              </w:rPr>
              <w:t>/</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4BD2DD92">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260</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123EF26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个</w:t>
            </w:r>
          </w:p>
        </w:tc>
      </w:tr>
      <w:tr w14:paraId="3045D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4578" w:type="dxa"/>
            <w:gridSpan w:val="2"/>
            <w:tcBorders>
              <w:top w:val="single" w:color="000000" w:sz="4" w:space="0"/>
              <w:left w:val="single" w:color="000000" w:sz="4" w:space="0"/>
              <w:bottom w:val="single" w:color="000000" w:sz="4" w:space="0"/>
              <w:right w:val="single" w:color="000000" w:sz="4" w:space="0"/>
            </w:tcBorders>
            <w:noWrap w:val="0"/>
            <w:vAlign w:val="center"/>
          </w:tcPr>
          <w:p w14:paraId="4C2E7BBD">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4.更新垃圾压缩设备</w:t>
            </w:r>
          </w:p>
        </w:tc>
        <w:tc>
          <w:tcPr>
            <w:tcW w:w="1363" w:type="dxa"/>
            <w:tcBorders>
              <w:top w:val="single" w:color="000000" w:sz="4" w:space="0"/>
              <w:left w:val="single" w:color="000000" w:sz="4" w:space="0"/>
              <w:bottom w:val="single" w:color="000000" w:sz="4" w:space="0"/>
              <w:right w:val="single" w:color="000000" w:sz="4" w:space="0"/>
            </w:tcBorders>
            <w:noWrap w:val="0"/>
            <w:vAlign w:val="center"/>
          </w:tcPr>
          <w:p w14:paraId="7BF063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20吨/日</w:t>
            </w:r>
          </w:p>
        </w:tc>
        <w:tc>
          <w:tcPr>
            <w:tcW w:w="1183" w:type="dxa"/>
            <w:tcBorders>
              <w:top w:val="single" w:color="000000" w:sz="4" w:space="0"/>
              <w:left w:val="single" w:color="000000" w:sz="4" w:space="0"/>
              <w:bottom w:val="single" w:color="000000" w:sz="4" w:space="0"/>
              <w:right w:val="single" w:color="000000" w:sz="4" w:space="0"/>
            </w:tcBorders>
            <w:noWrap w:val="0"/>
            <w:vAlign w:val="center"/>
          </w:tcPr>
          <w:p w14:paraId="5F4E097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194" w:type="dxa"/>
            <w:tcBorders>
              <w:top w:val="single" w:color="000000" w:sz="4" w:space="0"/>
              <w:left w:val="single" w:color="000000" w:sz="4" w:space="0"/>
              <w:bottom w:val="single" w:color="000000" w:sz="4" w:space="0"/>
              <w:right w:val="single" w:color="000000" w:sz="4" w:space="0"/>
            </w:tcBorders>
            <w:noWrap w:val="0"/>
            <w:vAlign w:val="center"/>
          </w:tcPr>
          <w:p w14:paraId="4CCE5B2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台</w:t>
            </w:r>
          </w:p>
        </w:tc>
      </w:tr>
    </w:tbl>
    <w:p w14:paraId="7BB21D7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在进行硬件投资建设时，所有设备和设施，结合项目现场情况合理布置、实施和维护。硬件建设实施单位具有完成本硬件建设的人员、技术、施工、安装等相关能力。确保硬件建设期间的安全和质量。</w:t>
      </w:r>
    </w:p>
    <w:p w14:paraId="151D28C3">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收集房主体及收集亭主体：确保符合行业规定和项目需求，包括尺寸、材料和耐用性。</w:t>
      </w:r>
    </w:p>
    <w:p w14:paraId="6DF51A7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基础及地面硬化：确保地面承重和耐用。</w:t>
      </w:r>
    </w:p>
    <w:p w14:paraId="0533D73D">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引线路：结合项目现场实际情况，合理布置，符合行业相关规范。</w:t>
      </w:r>
    </w:p>
    <w:p w14:paraId="1DFB4C2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垃圾桶：具有耐热耐寒性、耐酸碱性、耐腐蚀性和耐候性，化学稳定性好，刚性和韧性高，机械强度好，耐老化，使用寿命长。</w:t>
      </w:r>
    </w:p>
    <w:p w14:paraId="1B4F5A06">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3"/>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更新垃圾压缩设备，安装期间做好安全和确保质量的相关措施。对设备操作人员进行培训，确保他们能够正确使用和维护设备。</w:t>
      </w:r>
    </w:p>
    <w:p w14:paraId="1CD0E84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w:t>
      </w:r>
      <w:r>
        <w:rPr>
          <w:rFonts w:hint="eastAsia" w:ascii="宋体" w:hAnsi="宋体" w:eastAsia="宋体" w:cs="宋体"/>
          <w:snapToGrid w:val="0"/>
          <w:color w:val="000000"/>
          <w:spacing w:val="-2"/>
          <w:kern w:val="0"/>
          <w:sz w:val="22"/>
          <w:szCs w:val="22"/>
          <w:highlight w:val="none"/>
          <w:lang w:val="en-US" w:eastAsia="zh-CN"/>
        </w:rPr>
        <w:t>三</w:t>
      </w:r>
      <w:r>
        <w:rPr>
          <w:rFonts w:hint="eastAsia" w:ascii="宋体" w:hAnsi="宋体" w:eastAsia="宋体" w:cs="宋体"/>
          <w:snapToGrid w:val="0"/>
          <w:color w:val="000000"/>
          <w:spacing w:val="-2"/>
          <w:kern w:val="0"/>
          <w:sz w:val="22"/>
          <w:szCs w:val="22"/>
          <w:highlight w:val="none"/>
          <w:lang w:eastAsia="en-US"/>
        </w:rPr>
        <w:t>）</w:t>
      </w:r>
      <w:r>
        <w:rPr>
          <w:rFonts w:hint="eastAsia" w:ascii="宋体" w:hAnsi="宋体" w:eastAsia="宋体" w:cs="宋体"/>
          <w:snapToGrid w:val="0"/>
          <w:color w:val="000000"/>
          <w:spacing w:val="-3"/>
          <w:kern w:val="0"/>
          <w:sz w:val="22"/>
          <w:szCs w:val="22"/>
          <w:highlight w:val="none"/>
          <w:lang w:eastAsia="en-US"/>
        </w:rPr>
        <w:t>四类垃圾收集处理</w:t>
      </w:r>
    </w:p>
    <w:tbl>
      <w:tblPr>
        <w:tblStyle w:val="2"/>
        <w:tblW w:w="8338"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865"/>
        <w:gridCol w:w="3273"/>
        <w:gridCol w:w="1815"/>
        <w:gridCol w:w="1385"/>
      </w:tblGrid>
      <w:tr w14:paraId="4F7B12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16" w:hRule="atLeast"/>
        </w:trPr>
        <w:tc>
          <w:tcPr>
            <w:tcW w:w="5138" w:type="dxa"/>
            <w:gridSpan w:val="2"/>
            <w:tcBorders>
              <w:top w:val="single" w:color="000000" w:sz="4" w:space="0"/>
              <w:left w:val="single" w:color="000000" w:sz="4" w:space="0"/>
              <w:bottom w:val="single" w:color="000000" w:sz="4" w:space="0"/>
              <w:right w:val="single" w:color="000000" w:sz="4" w:space="0"/>
            </w:tcBorders>
            <w:noWrap w:val="0"/>
            <w:vAlign w:val="center"/>
          </w:tcPr>
          <w:p w14:paraId="4B8833E8">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项目内容</w:t>
            </w:r>
          </w:p>
        </w:tc>
        <w:tc>
          <w:tcPr>
            <w:tcW w:w="1815" w:type="dxa"/>
            <w:vMerge w:val="restart"/>
            <w:tcBorders>
              <w:top w:val="single" w:color="000000" w:sz="4" w:space="0"/>
              <w:left w:val="single" w:color="000000" w:sz="4" w:space="0"/>
              <w:bottom w:val="single" w:color="000000" w:sz="4" w:space="0"/>
              <w:right w:val="single" w:color="000000" w:sz="4" w:space="0"/>
            </w:tcBorders>
            <w:noWrap w:val="0"/>
            <w:vAlign w:val="center"/>
          </w:tcPr>
          <w:p w14:paraId="197C5C14">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lang w:val="en-US" w:eastAsia="zh-CN"/>
              </w:rPr>
            </w:pPr>
            <w:r>
              <w:rPr>
                <w:rFonts w:hint="eastAsia" w:ascii="宋体" w:hAnsi="宋体" w:cs="宋体"/>
                <w:b/>
                <w:bCs/>
                <w:i w:val="0"/>
                <w:iCs w:val="0"/>
                <w:color w:val="000000"/>
                <w:sz w:val="22"/>
                <w:szCs w:val="22"/>
                <w:u w:val="none"/>
                <w:lang w:val="en-US" w:eastAsia="zh-CN"/>
              </w:rPr>
              <w:t>数量</w:t>
            </w:r>
          </w:p>
        </w:tc>
        <w:tc>
          <w:tcPr>
            <w:tcW w:w="1385" w:type="dxa"/>
            <w:vMerge w:val="restart"/>
            <w:tcBorders>
              <w:top w:val="single" w:color="000000" w:sz="4" w:space="0"/>
              <w:left w:val="single" w:color="000000" w:sz="4" w:space="0"/>
              <w:bottom w:val="single" w:color="000000" w:sz="4" w:space="0"/>
              <w:right w:val="single" w:color="000000" w:sz="4" w:space="0"/>
            </w:tcBorders>
            <w:noWrap w:val="0"/>
            <w:vAlign w:val="center"/>
          </w:tcPr>
          <w:p w14:paraId="79F57CBF">
            <w:pPr>
              <w:keepNext w:val="0"/>
              <w:keepLines w:val="0"/>
              <w:widowControl/>
              <w:suppressLineNumbers w:val="0"/>
              <w:spacing w:line="360" w:lineRule="auto"/>
              <w:jc w:val="center"/>
              <w:textAlignment w:val="center"/>
              <w:rPr>
                <w:rFonts w:hint="eastAsia" w:ascii="宋体" w:hAnsi="宋体" w:eastAsia="宋体" w:cs="宋体"/>
                <w:b/>
                <w:bCs/>
                <w:i w:val="0"/>
                <w:iCs w:val="0"/>
                <w:color w:val="000000"/>
                <w:sz w:val="22"/>
                <w:szCs w:val="22"/>
                <w:u w:val="none"/>
              </w:rPr>
            </w:pPr>
            <w:r>
              <w:rPr>
                <w:rFonts w:hint="eastAsia" w:ascii="宋体" w:hAnsi="宋体" w:eastAsia="宋体" w:cs="宋体"/>
                <w:b/>
                <w:bCs/>
                <w:i w:val="0"/>
                <w:iCs w:val="0"/>
                <w:color w:val="000000"/>
                <w:kern w:val="0"/>
                <w:sz w:val="22"/>
                <w:szCs w:val="22"/>
                <w:u w:val="none"/>
                <w:lang w:val="en-US" w:eastAsia="zh-CN" w:bidi="ar"/>
              </w:rPr>
              <w:t>单位</w:t>
            </w:r>
          </w:p>
        </w:tc>
      </w:tr>
      <w:tr w14:paraId="47E5B2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65" w:type="dxa"/>
            <w:vMerge w:val="restart"/>
            <w:tcBorders>
              <w:top w:val="single" w:color="000000" w:sz="4" w:space="0"/>
              <w:left w:val="single" w:color="000000" w:sz="4" w:space="0"/>
              <w:bottom w:val="single" w:color="000000" w:sz="4" w:space="0"/>
              <w:right w:val="single" w:color="000000" w:sz="4" w:space="0"/>
            </w:tcBorders>
            <w:noWrap w:val="0"/>
            <w:vAlign w:val="center"/>
          </w:tcPr>
          <w:p w14:paraId="0B326585">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1.可回收物</w:t>
            </w:r>
          </w:p>
        </w:tc>
        <w:tc>
          <w:tcPr>
            <w:tcW w:w="3273" w:type="dxa"/>
            <w:vMerge w:val="restart"/>
            <w:tcBorders>
              <w:top w:val="single" w:color="000000" w:sz="4" w:space="0"/>
              <w:left w:val="single" w:color="000000" w:sz="4" w:space="0"/>
              <w:bottom w:val="single" w:color="000000" w:sz="4" w:space="0"/>
              <w:right w:val="single" w:color="000000" w:sz="4" w:space="0"/>
            </w:tcBorders>
            <w:noWrap w:val="0"/>
            <w:vAlign w:val="center"/>
          </w:tcPr>
          <w:p w14:paraId="745BD4CF">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(1)织物类</w:t>
            </w:r>
          </w:p>
        </w:tc>
        <w:tc>
          <w:tcPr>
            <w:tcW w:w="1815" w:type="dxa"/>
            <w:vMerge w:val="restart"/>
            <w:tcBorders>
              <w:top w:val="single" w:color="000000" w:sz="4" w:space="0"/>
              <w:left w:val="single" w:color="000000" w:sz="4" w:space="0"/>
              <w:bottom w:val="single" w:color="000000" w:sz="4" w:space="0"/>
              <w:right w:val="single" w:color="000000" w:sz="4" w:space="0"/>
            </w:tcBorders>
            <w:noWrap w:val="0"/>
            <w:vAlign w:val="center"/>
          </w:tcPr>
          <w:p w14:paraId="76EEA7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w:t>
            </w:r>
          </w:p>
        </w:tc>
        <w:tc>
          <w:tcPr>
            <w:tcW w:w="1385" w:type="dxa"/>
            <w:vMerge w:val="restart"/>
            <w:tcBorders>
              <w:top w:val="single" w:color="000000" w:sz="4" w:space="0"/>
              <w:left w:val="single" w:color="000000" w:sz="4" w:space="0"/>
              <w:bottom w:val="single" w:color="000000" w:sz="4" w:space="0"/>
              <w:right w:val="single" w:color="000000" w:sz="4" w:space="0"/>
            </w:tcBorders>
            <w:noWrap w:val="0"/>
            <w:vAlign w:val="center"/>
          </w:tcPr>
          <w:p w14:paraId="6DFD5B7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吨</w:t>
            </w:r>
            <w:r>
              <w:rPr>
                <w:rFonts w:hint="eastAsia" w:ascii="宋体" w:hAnsi="宋体" w:cs="宋体"/>
                <w:i w:val="0"/>
                <w:iCs w:val="0"/>
                <w:color w:val="000000"/>
                <w:kern w:val="0"/>
                <w:sz w:val="22"/>
                <w:szCs w:val="22"/>
                <w:u w:val="none"/>
                <w:lang w:val="en-US" w:eastAsia="zh-CN" w:bidi="ar"/>
              </w:rPr>
              <w:t>（</w:t>
            </w:r>
            <w:r>
              <w:rPr>
                <w:rFonts w:hint="eastAsia" w:ascii="宋体" w:hAnsi="宋体" w:eastAsia="宋体" w:cs="宋体"/>
                <w:b/>
                <w:bCs/>
                <w:i w:val="0"/>
                <w:iCs w:val="0"/>
                <w:color w:val="000000"/>
                <w:kern w:val="0"/>
                <w:sz w:val="22"/>
                <w:szCs w:val="22"/>
                <w:u w:val="none"/>
                <w:lang w:val="en-US" w:eastAsia="zh-CN" w:bidi="ar"/>
              </w:rPr>
              <w:t>日均产生量</w:t>
            </w:r>
            <w:r>
              <w:rPr>
                <w:rFonts w:hint="eastAsia" w:ascii="宋体" w:hAnsi="宋体" w:cs="宋体"/>
                <w:i w:val="0"/>
                <w:iCs w:val="0"/>
                <w:color w:val="000000"/>
                <w:kern w:val="0"/>
                <w:sz w:val="22"/>
                <w:szCs w:val="22"/>
                <w:u w:val="none"/>
                <w:lang w:val="en-US" w:eastAsia="zh-CN" w:bidi="ar"/>
              </w:rPr>
              <w:t>）</w:t>
            </w:r>
          </w:p>
        </w:tc>
      </w:tr>
      <w:tr w14:paraId="450B2E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6E196A">
            <w:pPr>
              <w:spacing w:line="360" w:lineRule="auto"/>
              <w:jc w:val="left"/>
              <w:rPr>
                <w:rFonts w:hint="eastAsia" w:ascii="宋体" w:hAnsi="宋体" w:eastAsia="宋体" w:cs="宋体"/>
                <w:i w:val="0"/>
                <w:iCs w:val="0"/>
                <w:color w:val="000000"/>
                <w:sz w:val="22"/>
                <w:szCs w:val="22"/>
                <w:u w:val="none"/>
              </w:rPr>
            </w:pPr>
          </w:p>
        </w:tc>
        <w:tc>
          <w:tcPr>
            <w:tcW w:w="3273" w:type="dxa"/>
            <w:vMerge w:val="continue"/>
            <w:tcBorders>
              <w:top w:val="single" w:color="000000" w:sz="4" w:space="0"/>
              <w:left w:val="single" w:color="000000" w:sz="4" w:space="0"/>
              <w:bottom w:val="single" w:color="000000" w:sz="4" w:space="0"/>
              <w:right w:val="single" w:color="000000" w:sz="4" w:space="0"/>
            </w:tcBorders>
            <w:noWrap w:val="0"/>
            <w:vAlign w:val="center"/>
          </w:tcPr>
          <w:p w14:paraId="558FA004">
            <w:pPr>
              <w:spacing w:line="360" w:lineRule="auto"/>
              <w:jc w:val="left"/>
              <w:rPr>
                <w:rFonts w:hint="eastAsia" w:ascii="宋体" w:hAnsi="宋体" w:eastAsia="宋体" w:cs="宋体"/>
                <w:i w:val="0"/>
                <w:iCs w:val="0"/>
                <w:color w:val="000000"/>
                <w:sz w:val="22"/>
                <w:szCs w:val="22"/>
                <w:u w:val="none"/>
              </w:rPr>
            </w:pPr>
          </w:p>
        </w:tc>
        <w:tc>
          <w:tcPr>
            <w:tcW w:w="1815" w:type="dxa"/>
            <w:vMerge w:val="continue"/>
            <w:tcBorders>
              <w:top w:val="single" w:color="000000" w:sz="4" w:space="0"/>
              <w:left w:val="single" w:color="000000" w:sz="4" w:space="0"/>
              <w:bottom w:val="single" w:color="000000" w:sz="4" w:space="0"/>
              <w:right w:val="single" w:color="000000" w:sz="4" w:space="0"/>
            </w:tcBorders>
            <w:noWrap w:val="0"/>
            <w:vAlign w:val="center"/>
          </w:tcPr>
          <w:p w14:paraId="3D8C4827">
            <w:pPr>
              <w:spacing w:line="360" w:lineRule="auto"/>
              <w:jc w:val="center"/>
              <w:rPr>
                <w:rFonts w:hint="eastAsia" w:ascii="宋体" w:hAnsi="宋体" w:eastAsia="宋体" w:cs="宋体"/>
                <w:i w:val="0"/>
                <w:iCs w:val="0"/>
                <w:color w:val="000000"/>
                <w:sz w:val="22"/>
                <w:szCs w:val="22"/>
                <w:u w:val="none"/>
              </w:rPr>
            </w:pP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505E88F3">
            <w:pPr>
              <w:spacing w:line="360" w:lineRule="auto"/>
              <w:jc w:val="center"/>
              <w:rPr>
                <w:rFonts w:hint="eastAsia" w:ascii="宋体" w:hAnsi="宋体" w:eastAsia="宋体" w:cs="宋体"/>
                <w:i w:val="0"/>
                <w:iCs w:val="0"/>
                <w:color w:val="000000"/>
                <w:sz w:val="22"/>
                <w:szCs w:val="22"/>
                <w:u w:val="none"/>
              </w:rPr>
            </w:pPr>
          </w:p>
        </w:tc>
      </w:tr>
      <w:tr w14:paraId="2D5C6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20C3DE">
            <w:pPr>
              <w:spacing w:line="360" w:lineRule="auto"/>
              <w:jc w:val="left"/>
              <w:rPr>
                <w:rFonts w:hint="eastAsia" w:ascii="宋体" w:hAnsi="宋体" w:eastAsia="宋体" w:cs="宋体"/>
                <w:i w:val="0"/>
                <w:iCs w:val="0"/>
                <w:color w:val="000000"/>
                <w:sz w:val="22"/>
                <w:szCs w:val="22"/>
                <w:u w:val="none"/>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14:paraId="5D550DF5">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(2)纸类</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1A1A67CC">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43A3DB">
            <w:pPr>
              <w:spacing w:line="360" w:lineRule="auto"/>
              <w:jc w:val="center"/>
              <w:rPr>
                <w:rFonts w:hint="eastAsia" w:ascii="宋体" w:hAnsi="宋体" w:eastAsia="宋体" w:cs="宋体"/>
                <w:i w:val="0"/>
                <w:iCs w:val="0"/>
                <w:color w:val="000000"/>
                <w:sz w:val="22"/>
                <w:szCs w:val="22"/>
                <w:u w:val="none"/>
              </w:rPr>
            </w:pPr>
          </w:p>
        </w:tc>
      </w:tr>
      <w:tr w14:paraId="529FEB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0B327C">
            <w:pPr>
              <w:spacing w:line="360" w:lineRule="auto"/>
              <w:jc w:val="left"/>
              <w:rPr>
                <w:rFonts w:hint="eastAsia" w:ascii="宋体" w:hAnsi="宋体" w:eastAsia="宋体" w:cs="宋体"/>
                <w:i w:val="0"/>
                <w:iCs w:val="0"/>
                <w:color w:val="000000"/>
                <w:sz w:val="22"/>
                <w:szCs w:val="22"/>
                <w:u w:val="none"/>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14:paraId="26CE6472">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(3)塑料类</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7568BB6D">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0.75</w:t>
            </w: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11FE3597">
            <w:pPr>
              <w:spacing w:line="360" w:lineRule="auto"/>
              <w:jc w:val="center"/>
              <w:rPr>
                <w:rFonts w:hint="eastAsia" w:ascii="宋体" w:hAnsi="宋体" w:eastAsia="宋体" w:cs="宋体"/>
                <w:i w:val="0"/>
                <w:iCs w:val="0"/>
                <w:color w:val="000000"/>
                <w:sz w:val="22"/>
                <w:szCs w:val="22"/>
                <w:u w:val="none"/>
              </w:rPr>
            </w:pPr>
          </w:p>
        </w:tc>
      </w:tr>
      <w:tr w14:paraId="31CE47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2737CA3">
            <w:pPr>
              <w:spacing w:line="360" w:lineRule="auto"/>
              <w:jc w:val="left"/>
              <w:rPr>
                <w:rFonts w:hint="eastAsia" w:ascii="宋体" w:hAnsi="宋体" w:eastAsia="宋体" w:cs="宋体"/>
                <w:i w:val="0"/>
                <w:iCs w:val="0"/>
                <w:color w:val="000000"/>
                <w:sz w:val="22"/>
                <w:szCs w:val="22"/>
                <w:u w:val="none"/>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14:paraId="7E6F473D">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(4)玻璃类</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5ABF6ECA">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0.5</w:t>
            </w: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6295C693">
            <w:pPr>
              <w:spacing w:line="360" w:lineRule="auto"/>
              <w:jc w:val="center"/>
              <w:rPr>
                <w:rFonts w:hint="eastAsia" w:ascii="宋体" w:hAnsi="宋体" w:eastAsia="宋体" w:cs="宋体"/>
                <w:i w:val="0"/>
                <w:iCs w:val="0"/>
                <w:color w:val="000000"/>
                <w:sz w:val="22"/>
                <w:szCs w:val="22"/>
                <w:u w:val="none"/>
              </w:rPr>
            </w:pPr>
          </w:p>
        </w:tc>
      </w:tr>
      <w:tr w14:paraId="00ACB5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5138" w:type="dxa"/>
            <w:gridSpan w:val="2"/>
            <w:tcBorders>
              <w:top w:val="single" w:color="000000" w:sz="4" w:space="0"/>
              <w:left w:val="single" w:color="000000" w:sz="4" w:space="0"/>
              <w:bottom w:val="single" w:color="000000" w:sz="4" w:space="0"/>
              <w:right w:val="single" w:color="000000" w:sz="4" w:space="0"/>
            </w:tcBorders>
            <w:noWrap w:val="0"/>
            <w:vAlign w:val="center"/>
          </w:tcPr>
          <w:p w14:paraId="4B93A9B8">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2.厨余垃圾</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1143DFE3">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10</w:t>
            </w: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56601D">
            <w:pPr>
              <w:spacing w:line="360" w:lineRule="auto"/>
              <w:jc w:val="center"/>
              <w:rPr>
                <w:rFonts w:hint="eastAsia" w:ascii="宋体" w:hAnsi="宋体" w:eastAsia="宋体" w:cs="宋体"/>
                <w:i w:val="0"/>
                <w:iCs w:val="0"/>
                <w:color w:val="000000"/>
                <w:sz w:val="22"/>
                <w:szCs w:val="22"/>
                <w:u w:val="none"/>
              </w:rPr>
            </w:pPr>
          </w:p>
        </w:tc>
      </w:tr>
      <w:tr w14:paraId="4165D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5138" w:type="dxa"/>
            <w:gridSpan w:val="2"/>
            <w:tcBorders>
              <w:top w:val="single" w:color="000000" w:sz="4" w:space="0"/>
              <w:left w:val="single" w:color="000000" w:sz="4" w:space="0"/>
              <w:bottom w:val="single" w:color="000000" w:sz="4" w:space="0"/>
              <w:right w:val="single" w:color="000000" w:sz="4" w:space="0"/>
            </w:tcBorders>
            <w:noWrap w:val="0"/>
            <w:vAlign w:val="center"/>
          </w:tcPr>
          <w:p w14:paraId="4E05D2B0">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3.有害垃圾</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27D3B0D1">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0.3</w:t>
            </w:r>
          </w:p>
        </w:tc>
        <w:tc>
          <w:tcPr>
            <w:tcW w:w="1385"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C3C23E">
            <w:pPr>
              <w:spacing w:line="360" w:lineRule="auto"/>
              <w:jc w:val="center"/>
              <w:rPr>
                <w:rFonts w:hint="eastAsia" w:ascii="宋体" w:hAnsi="宋体" w:eastAsia="宋体" w:cs="宋体"/>
                <w:i w:val="0"/>
                <w:iCs w:val="0"/>
                <w:color w:val="000000"/>
                <w:sz w:val="22"/>
                <w:szCs w:val="22"/>
                <w:u w:val="none"/>
              </w:rPr>
            </w:pPr>
          </w:p>
        </w:tc>
      </w:tr>
      <w:tr w14:paraId="08FEC2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865" w:type="dxa"/>
            <w:vMerge w:val="restart"/>
            <w:tcBorders>
              <w:top w:val="single" w:color="000000" w:sz="4" w:space="0"/>
              <w:left w:val="single" w:color="000000" w:sz="4" w:space="0"/>
              <w:bottom w:val="single" w:color="000000" w:sz="4" w:space="0"/>
              <w:right w:val="single" w:color="000000" w:sz="4" w:space="0"/>
            </w:tcBorders>
            <w:noWrap w:val="0"/>
            <w:vAlign w:val="center"/>
          </w:tcPr>
          <w:p w14:paraId="6B7950AF">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4.其他垃圾清运</w:t>
            </w:r>
          </w:p>
        </w:tc>
        <w:tc>
          <w:tcPr>
            <w:tcW w:w="3273" w:type="dxa"/>
            <w:tcBorders>
              <w:top w:val="single" w:color="000000" w:sz="4" w:space="0"/>
              <w:left w:val="single" w:color="000000" w:sz="4" w:space="0"/>
              <w:bottom w:val="single" w:color="000000" w:sz="4" w:space="0"/>
              <w:right w:val="single" w:color="000000" w:sz="4" w:space="0"/>
            </w:tcBorders>
            <w:noWrap w:val="0"/>
            <w:vAlign w:val="center"/>
          </w:tcPr>
          <w:p w14:paraId="5CF2F8C3">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lang w:val="en-US"/>
              </w:rPr>
            </w:pPr>
            <w:r>
              <w:rPr>
                <w:rFonts w:hint="eastAsia" w:ascii="宋体" w:hAnsi="宋体" w:eastAsia="宋体" w:cs="宋体"/>
                <w:i w:val="0"/>
                <w:iCs w:val="0"/>
                <w:color w:val="000000"/>
                <w:kern w:val="0"/>
                <w:sz w:val="22"/>
                <w:szCs w:val="22"/>
                <w:u w:val="none"/>
                <w:lang w:val="en-US" w:eastAsia="zh-CN" w:bidi="ar"/>
              </w:rPr>
              <w:t>车辆投入</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0C0DFF57">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3</w:t>
            </w: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2E21CBD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辆</w:t>
            </w:r>
          </w:p>
        </w:tc>
      </w:tr>
      <w:tr w14:paraId="1BA553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9" w:hRule="atLeast"/>
        </w:trPr>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27CCB4F0">
            <w:pPr>
              <w:spacing w:line="360" w:lineRule="auto"/>
              <w:jc w:val="left"/>
              <w:rPr>
                <w:rFonts w:hint="eastAsia" w:ascii="宋体" w:hAnsi="宋体" w:eastAsia="宋体" w:cs="宋体"/>
                <w:i w:val="0"/>
                <w:iCs w:val="0"/>
                <w:color w:val="000000"/>
                <w:sz w:val="22"/>
                <w:szCs w:val="22"/>
                <w:u w:val="none"/>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14:paraId="7B1A8FFB">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劳保投入</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7D994D10">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342D2A9F">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w:t>
            </w:r>
          </w:p>
        </w:tc>
      </w:tr>
      <w:tr w14:paraId="6353E1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6" w:hRule="atLeast"/>
        </w:trPr>
        <w:tc>
          <w:tcPr>
            <w:tcW w:w="1865" w:type="dxa"/>
            <w:vMerge w:val="continue"/>
            <w:tcBorders>
              <w:top w:val="single" w:color="000000" w:sz="4" w:space="0"/>
              <w:left w:val="single" w:color="000000" w:sz="4" w:space="0"/>
              <w:bottom w:val="single" w:color="000000" w:sz="4" w:space="0"/>
              <w:right w:val="single" w:color="000000" w:sz="4" w:space="0"/>
            </w:tcBorders>
            <w:noWrap w:val="0"/>
            <w:vAlign w:val="center"/>
          </w:tcPr>
          <w:p w14:paraId="0762C89A">
            <w:pPr>
              <w:spacing w:line="360" w:lineRule="auto"/>
              <w:jc w:val="left"/>
              <w:rPr>
                <w:rFonts w:hint="eastAsia" w:ascii="宋体" w:hAnsi="宋体" w:eastAsia="宋体" w:cs="宋体"/>
                <w:i w:val="0"/>
                <w:iCs w:val="0"/>
                <w:color w:val="000000"/>
                <w:sz w:val="22"/>
                <w:szCs w:val="22"/>
                <w:u w:val="none"/>
              </w:rPr>
            </w:pPr>
          </w:p>
        </w:tc>
        <w:tc>
          <w:tcPr>
            <w:tcW w:w="3273" w:type="dxa"/>
            <w:tcBorders>
              <w:top w:val="single" w:color="000000" w:sz="4" w:space="0"/>
              <w:left w:val="single" w:color="000000" w:sz="4" w:space="0"/>
              <w:bottom w:val="single" w:color="000000" w:sz="4" w:space="0"/>
              <w:right w:val="single" w:color="000000" w:sz="4" w:space="0"/>
            </w:tcBorders>
            <w:noWrap w:val="0"/>
            <w:vAlign w:val="center"/>
          </w:tcPr>
          <w:p w14:paraId="186A33C3">
            <w:pPr>
              <w:keepNext w:val="0"/>
              <w:keepLines w:val="0"/>
              <w:widowControl/>
              <w:suppressLineNumbers w:val="0"/>
              <w:spacing w:line="360" w:lineRule="auto"/>
              <w:jc w:val="left"/>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社保投入</w:t>
            </w:r>
          </w:p>
        </w:tc>
        <w:tc>
          <w:tcPr>
            <w:tcW w:w="1815" w:type="dxa"/>
            <w:tcBorders>
              <w:top w:val="single" w:color="000000" w:sz="4" w:space="0"/>
              <w:left w:val="single" w:color="000000" w:sz="4" w:space="0"/>
              <w:bottom w:val="single" w:color="000000" w:sz="4" w:space="0"/>
              <w:right w:val="single" w:color="000000" w:sz="4" w:space="0"/>
            </w:tcBorders>
            <w:noWrap w:val="0"/>
            <w:vAlign w:val="center"/>
          </w:tcPr>
          <w:p w14:paraId="77068625">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9</w:t>
            </w:r>
          </w:p>
        </w:tc>
        <w:tc>
          <w:tcPr>
            <w:tcW w:w="1385" w:type="dxa"/>
            <w:tcBorders>
              <w:top w:val="single" w:color="000000" w:sz="4" w:space="0"/>
              <w:left w:val="single" w:color="000000" w:sz="4" w:space="0"/>
              <w:bottom w:val="single" w:color="000000" w:sz="4" w:space="0"/>
              <w:right w:val="single" w:color="000000" w:sz="4" w:space="0"/>
            </w:tcBorders>
            <w:noWrap w:val="0"/>
            <w:vAlign w:val="center"/>
          </w:tcPr>
          <w:p w14:paraId="27B94DDB">
            <w:pPr>
              <w:keepNext w:val="0"/>
              <w:keepLines w:val="0"/>
              <w:widowControl/>
              <w:suppressLineNumbers w:val="0"/>
              <w:spacing w:line="360" w:lineRule="auto"/>
              <w:jc w:val="center"/>
              <w:textAlignment w:val="center"/>
              <w:rPr>
                <w:rFonts w:hint="eastAsia" w:ascii="宋体" w:hAnsi="宋体" w:eastAsia="宋体" w:cs="宋体"/>
                <w:i w:val="0"/>
                <w:iCs w:val="0"/>
                <w:color w:val="000000"/>
                <w:sz w:val="22"/>
                <w:szCs w:val="22"/>
                <w:u w:val="none"/>
              </w:rPr>
            </w:pPr>
            <w:r>
              <w:rPr>
                <w:rFonts w:hint="eastAsia" w:ascii="宋体" w:hAnsi="宋体" w:eastAsia="宋体" w:cs="宋体"/>
                <w:i w:val="0"/>
                <w:iCs w:val="0"/>
                <w:color w:val="000000"/>
                <w:kern w:val="0"/>
                <w:sz w:val="22"/>
                <w:szCs w:val="22"/>
                <w:u w:val="none"/>
                <w:lang w:val="en-US" w:eastAsia="zh-CN" w:bidi="ar"/>
              </w:rPr>
              <w:t>人</w:t>
            </w:r>
          </w:p>
        </w:tc>
      </w:tr>
    </w:tbl>
    <w:p w14:paraId="25D817E9">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收集后的可回收物应运往指定回收处理中心，进行分类处理。</w:t>
      </w:r>
    </w:p>
    <w:p w14:paraId="1BA784F3">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厨余垃圾收集车辆，确保垃圾在运输过程中不渗漏、不散落。</w:t>
      </w:r>
    </w:p>
    <w:p w14:paraId="277E88AA">
      <w:pPr>
        <w:keepNext w:val="0"/>
        <w:keepLines w:val="0"/>
        <w:pageBreakBefore w:val="0"/>
        <w:widowControl/>
        <w:suppressLineNumbers w:val="0"/>
        <w:kinsoku/>
        <w:wordWrap/>
        <w:overflowPunct/>
        <w:topLinePunct w:val="0"/>
        <w:autoSpaceDE/>
        <w:autoSpaceDN/>
        <w:bidi w:val="0"/>
        <w:adjustRightInd/>
        <w:snapToGrid/>
        <w:spacing w:line="360" w:lineRule="auto"/>
        <w:ind w:firstLine="440" w:firstLineChars="200"/>
        <w:jc w:val="left"/>
        <w:textAlignment w:val="auto"/>
        <w:rPr>
          <w:rFonts w:hint="eastAsia" w:ascii="宋体" w:hAnsi="宋体" w:eastAsia="宋体" w:cs="宋体"/>
          <w:color w:val="000000"/>
          <w:kern w:val="0"/>
          <w:sz w:val="22"/>
          <w:szCs w:val="22"/>
          <w:lang w:val="en-US" w:eastAsia="zh-CN" w:bidi="ar"/>
        </w:rPr>
      </w:pPr>
      <w:r>
        <w:rPr>
          <w:rFonts w:hint="eastAsia" w:ascii="宋体" w:hAnsi="宋体" w:eastAsia="宋体" w:cs="宋体"/>
          <w:color w:val="000000"/>
          <w:kern w:val="0"/>
          <w:sz w:val="22"/>
          <w:szCs w:val="22"/>
          <w:lang w:val="en-US" w:eastAsia="zh-CN" w:bidi="ar"/>
        </w:rPr>
        <w:t>有害垃圾使用专门的密封式有害垃圾收集车辆，避免有害物质泄漏和环境污染。有害垃圾按照国家相关法律法规进行安全处理，不能随意丢弃或混合处理，应送至专业处理机构进行无害化处理。</w:t>
      </w:r>
    </w:p>
    <w:p w14:paraId="32335FE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2"/>
        <w:jc w:val="left"/>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color w:val="000000"/>
          <w:kern w:val="0"/>
          <w:sz w:val="22"/>
          <w:szCs w:val="22"/>
          <w:lang w:val="en-US" w:eastAsia="zh-CN" w:bidi="ar"/>
        </w:rPr>
        <w:t>垃圾清运使用封闭式清运车辆，确保垃圾在运输过程中不散落、不渗漏。</w:t>
      </w:r>
    </w:p>
    <w:p w14:paraId="171BCA80">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kern w:val="0"/>
          <w:sz w:val="22"/>
          <w:szCs w:val="22"/>
          <w:highlight w:val="none"/>
          <w:lang w:eastAsia="en-US"/>
        </w:rPr>
      </w:pPr>
      <w:bookmarkStart w:id="5" w:name="_Toc15277"/>
      <w:r>
        <w:rPr>
          <w:rFonts w:hint="eastAsia" w:ascii="宋体" w:hAnsi="宋体" w:eastAsia="宋体" w:cs="宋体"/>
          <w:snapToGrid w:val="0"/>
          <w:color w:val="000000"/>
          <w:spacing w:val="-4"/>
          <w:kern w:val="0"/>
          <w:sz w:val="22"/>
          <w:szCs w:val="22"/>
          <w:highlight w:val="none"/>
          <w:lang w:eastAsia="en-US"/>
        </w:rPr>
        <w:t>四、服务费用：</w:t>
      </w:r>
      <w:bookmarkEnd w:id="5"/>
    </w:p>
    <w:p w14:paraId="0F41FEF8">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2"/>
        <w:rPr>
          <w:rFonts w:hint="eastAsia" w:ascii="宋体" w:hAnsi="宋体" w:eastAsia="宋体" w:cs="宋体"/>
          <w:snapToGrid w:val="0"/>
          <w:color w:val="000000"/>
          <w:spacing w:val="-3"/>
          <w:kern w:val="0"/>
          <w:sz w:val="22"/>
          <w:szCs w:val="22"/>
          <w:highlight w:val="none"/>
          <w:lang w:eastAsia="en-US"/>
        </w:rPr>
      </w:pPr>
      <w:bookmarkStart w:id="6" w:name="_Toc4876"/>
      <w:r>
        <w:rPr>
          <w:rFonts w:hint="eastAsia" w:ascii="宋体" w:hAnsi="宋体" w:eastAsia="宋体" w:cs="宋体"/>
          <w:snapToGrid w:val="0"/>
          <w:color w:val="000000"/>
          <w:spacing w:val="-3"/>
          <w:kern w:val="0"/>
          <w:sz w:val="22"/>
          <w:szCs w:val="22"/>
          <w:highlight w:val="none"/>
          <w:lang w:eastAsia="en-US"/>
        </w:rPr>
        <w:t>（一）、服务费用</w:t>
      </w:r>
      <w:bookmarkEnd w:id="6"/>
    </w:p>
    <w:p w14:paraId="2A84C2B9">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24" w:firstLineChars="200"/>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4"/>
          <w:kern w:val="0"/>
          <w:sz w:val="22"/>
          <w:szCs w:val="22"/>
          <w:highlight w:val="none"/>
          <w:lang w:eastAsia="en-US"/>
        </w:rPr>
        <w:t>本项目服务费用共计：￥</w:t>
      </w:r>
      <w:r>
        <w:rPr>
          <w:rFonts w:hint="eastAsia" w:ascii="宋体" w:hAnsi="宋体" w:eastAsia="宋体" w:cs="宋体"/>
          <w:snapToGrid w:val="0"/>
          <w:color w:val="000000"/>
          <w:spacing w:val="-95"/>
          <w:kern w:val="0"/>
          <w:sz w:val="22"/>
          <w:szCs w:val="22"/>
          <w:highlight w:val="none"/>
          <w:lang w:eastAsia="en-US"/>
        </w:rPr>
        <w:t xml:space="preserve"> </w:t>
      </w:r>
      <w:r>
        <w:rPr>
          <w:rFonts w:hint="eastAsia" w:ascii="宋体" w:hAnsi="宋体" w:eastAsia="宋体" w:cs="宋体"/>
          <w:snapToGrid w:val="0"/>
          <w:color w:val="000000"/>
          <w:kern w:val="0"/>
          <w:sz w:val="22"/>
          <w:szCs w:val="22"/>
          <w:highlight w:val="none"/>
          <w:u w:val="single" w:color="auto"/>
          <w:lang w:eastAsia="en-US"/>
        </w:rPr>
        <w:t xml:space="preserve">        </w:t>
      </w:r>
      <w:r>
        <w:rPr>
          <w:rFonts w:hint="eastAsia" w:ascii="宋体" w:hAnsi="宋体" w:eastAsia="宋体" w:cs="宋体"/>
          <w:snapToGrid w:val="0"/>
          <w:color w:val="000000"/>
          <w:spacing w:val="-109"/>
          <w:kern w:val="0"/>
          <w:sz w:val="22"/>
          <w:szCs w:val="22"/>
          <w:highlight w:val="none"/>
          <w:lang w:eastAsia="en-US"/>
        </w:rPr>
        <w:t xml:space="preserve"> </w:t>
      </w:r>
      <w:r>
        <w:rPr>
          <w:rFonts w:hint="eastAsia" w:ascii="宋体" w:hAnsi="宋体" w:eastAsia="宋体" w:cs="宋体"/>
          <w:snapToGrid w:val="0"/>
          <w:color w:val="000000"/>
          <w:spacing w:val="-4"/>
          <w:kern w:val="0"/>
          <w:sz w:val="22"/>
          <w:szCs w:val="22"/>
          <w:highlight w:val="none"/>
          <w:lang w:eastAsia="en-US"/>
        </w:rPr>
        <w:t>元/年（大写：人民币</w:t>
      </w:r>
      <w:r>
        <w:rPr>
          <w:rFonts w:hint="eastAsia" w:ascii="宋体" w:hAnsi="宋体" w:eastAsia="宋体" w:cs="宋体"/>
          <w:snapToGrid w:val="0"/>
          <w:color w:val="000000"/>
          <w:spacing w:val="-4"/>
          <w:kern w:val="0"/>
          <w:sz w:val="22"/>
          <w:szCs w:val="22"/>
          <w:highlight w:val="none"/>
          <w:u w:val="single" w:color="auto"/>
          <w:lang w:eastAsia="en-US"/>
        </w:rPr>
        <w:t xml:space="preserve">    </w:t>
      </w:r>
      <w:r>
        <w:rPr>
          <w:rFonts w:hint="eastAsia" w:ascii="宋体" w:hAnsi="宋体" w:eastAsia="宋体" w:cs="宋体"/>
          <w:snapToGrid w:val="0"/>
          <w:color w:val="000000"/>
          <w:spacing w:val="-5"/>
          <w:kern w:val="0"/>
          <w:sz w:val="22"/>
          <w:szCs w:val="22"/>
          <w:highlight w:val="none"/>
          <w:u w:val="single" w:color="auto"/>
          <w:lang w:eastAsia="en-US"/>
        </w:rPr>
        <w:t xml:space="preserve">   </w:t>
      </w:r>
      <w:r>
        <w:rPr>
          <w:rFonts w:hint="eastAsia" w:ascii="宋体" w:hAnsi="宋体" w:eastAsia="宋体" w:cs="宋体"/>
          <w:snapToGrid w:val="0"/>
          <w:color w:val="000000"/>
          <w:spacing w:val="35"/>
          <w:kern w:val="0"/>
          <w:sz w:val="22"/>
          <w:szCs w:val="22"/>
          <w:highlight w:val="none"/>
          <w:lang w:eastAsia="en-US"/>
        </w:rPr>
        <w:t xml:space="preserve"> </w:t>
      </w:r>
      <w:r>
        <w:rPr>
          <w:rFonts w:hint="eastAsia" w:ascii="宋体" w:hAnsi="宋体" w:eastAsia="宋体" w:cs="宋体"/>
          <w:snapToGrid w:val="0"/>
          <w:color w:val="000000"/>
          <w:spacing w:val="-5"/>
          <w:kern w:val="0"/>
          <w:sz w:val="22"/>
          <w:szCs w:val="22"/>
          <w:highlight w:val="none"/>
          <w:lang w:eastAsia="en-US"/>
        </w:rPr>
        <w:t>）。 合同总价为</w:t>
      </w:r>
      <w:r>
        <w:rPr>
          <w:rFonts w:hint="eastAsia" w:ascii="宋体" w:hAnsi="宋体" w:eastAsia="宋体" w:cs="宋体"/>
          <w:snapToGrid w:val="0"/>
          <w:color w:val="000000"/>
          <w:kern w:val="0"/>
          <w:sz w:val="22"/>
          <w:szCs w:val="22"/>
          <w:highlight w:val="none"/>
          <w:lang w:eastAsia="en-US"/>
        </w:rPr>
        <w:t>包干价，包含本合同期内运行服务全部内容，</w:t>
      </w:r>
      <w:r>
        <w:rPr>
          <w:rFonts w:hint="eastAsia" w:ascii="宋体" w:hAnsi="宋体" w:eastAsia="宋体" w:cs="宋体"/>
          <w:snapToGrid w:val="0"/>
          <w:color w:val="000000"/>
          <w:spacing w:val="-1"/>
          <w:kern w:val="0"/>
          <w:sz w:val="22"/>
          <w:szCs w:val="22"/>
          <w:highlight w:val="none"/>
          <w:lang w:eastAsia="en-US"/>
        </w:rPr>
        <w:t>不受市场价变化的影响。</w:t>
      </w:r>
    </w:p>
    <w:p w14:paraId="4C2D284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2"/>
        <w:rPr>
          <w:rFonts w:hint="default" w:ascii="宋体" w:hAnsi="宋体" w:eastAsia="宋体" w:cs="宋体"/>
          <w:snapToGrid w:val="0"/>
          <w:color w:val="000000"/>
          <w:spacing w:val="-2"/>
          <w:kern w:val="0"/>
          <w:sz w:val="22"/>
          <w:szCs w:val="22"/>
          <w:highlight w:val="none"/>
          <w:u w:val="single"/>
          <w:lang w:val="en-US" w:eastAsia="zh-CN"/>
        </w:rPr>
      </w:pPr>
      <w:bookmarkStart w:id="7" w:name="_Toc12709"/>
      <w:r>
        <w:rPr>
          <w:rFonts w:hint="eastAsia" w:ascii="宋体" w:hAnsi="宋体" w:eastAsia="宋体" w:cs="宋体"/>
          <w:snapToGrid w:val="0"/>
          <w:color w:val="000000"/>
          <w:spacing w:val="-3"/>
          <w:kern w:val="0"/>
          <w:sz w:val="22"/>
          <w:szCs w:val="22"/>
          <w:highlight w:val="none"/>
          <w:lang w:eastAsia="en-US"/>
        </w:rPr>
        <w:t>（二）、付款方式：</w:t>
      </w:r>
      <w:bookmarkEnd w:id="7"/>
      <w:r>
        <w:rPr>
          <w:rFonts w:hint="eastAsia" w:ascii="宋体" w:hAnsi="宋体" w:eastAsia="宋体" w:cs="宋体"/>
          <w:snapToGrid w:val="0"/>
          <w:color w:val="000000"/>
          <w:spacing w:val="-3"/>
          <w:kern w:val="0"/>
          <w:sz w:val="22"/>
          <w:szCs w:val="22"/>
          <w:highlight w:val="none"/>
          <w:u w:val="single"/>
          <w:lang w:val="en-US" w:eastAsia="zh-CN"/>
        </w:rPr>
        <w:t xml:space="preserve">             </w:t>
      </w:r>
      <w:r>
        <w:rPr>
          <w:rFonts w:hint="eastAsia" w:ascii="宋体" w:hAnsi="宋体" w:eastAsia="宋体" w:cs="宋体"/>
          <w:snapToGrid w:val="0"/>
          <w:color w:val="000000"/>
          <w:spacing w:val="-3"/>
          <w:kern w:val="0"/>
          <w:sz w:val="22"/>
          <w:szCs w:val="22"/>
          <w:highlight w:val="none"/>
          <w:u w:val="none"/>
          <w:lang w:val="en-US" w:eastAsia="zh-CN"/>
        </w:rPr>
        <w:t>。</w:t>
      </w:r>
    </w:p>
    <w:p w14:paraId="0E07CD8F">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2"/>
        <w:rPr>
          <w:rFonts w:hint="eastAsia" w:ascii="宋体" w:hAnsi="宋体" w:eastAsia="宋体" w:cs="宋体"/>
          <w:snapToGrid w:val="0"/>
          <w:color w:val="000000"/>
          <w:kern w:val="0"/>
          <w:sz w:val="22"/>
          <w:szCs w:val="22"/>
          <w:highlight w:val="none"/>
          <w:lang w:eastAsia="en-US"/>
        </w:rPr>
      </w:pPr>
      <w:bookmarkStart w:id="8" w:name="_Toc23014"/>
      <w:r>
        <w:rPr>
          <w:rFonts w:hint="eastAsia" w:ascii="宋体" w:hAnsi="宋体" w:eastAsia="宋体" w:cs="宋体"/>
          <w:snapToGrid w:val="0"/>
          <w:color w:val="000000"/>
          <w:spacing w:val="-2"/>
          <w:kern w:val="0"/>
          <w:sz w:val="22"/>
          <w:szCs w:val="22"/>
          <w:highlight w:val="none"/>
          <w:lang w:eastAsia="en-US"/>
        </w:rPr>
        <w:t>（三）结算单位以及发票开具</w:t>
      </w:r>
      <w:bookmarkEnd w:id="8"/>
    </w:p>
    <w:p w14:paraId="54D6E70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83"/>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1"/>
          <w:kern w:val="0"/>
          <w:sz w:val="22"/>
          <w:szCs w:val="22"/>
          <w:highlight w:val="none"/>
          <w:lang w:eastAsia="en-US"/>
        </w:rPr>
        <w:t>1.由</w:t>
      </w:r>
      <w:r>
        <w:rPr>
          <w:rFonts w:hint="eastAsia" w:ascii="宋体" w:hAnsi="宋体" w:eastAsia="宋体" w:cs="宋体"/>
          <w:snapToGrid w:val="0"/>
          <w:color w:val="000000"/>
          <w:spacing w:val="-2"/>
          <w:kern w:val="0"/>
          <w:sz w:val="22"/>
          <w:szCs w:val="22"/>
          <w:highlight w:val="none"/>
          <w:lang w:eastAsia="en-US"/>
        </w:rPr>
        <w:t>甲方</w:t>
      </w:r>
      <w:r>
        <w:rPr>
          <w:rFonts w:hint="eastAsia" w:ascii="宋体" w:hAnsi="宋体" w:eastAsia="宋体" w:cs="宋体"/>
          <w:snapToGrid w:val="0"/>
          <w:color w:val="000000"/>
          <w:spacing w:val="-1"/>
          <w:kern w:val="0"/>
          <w:sz w:val="22"/>
          <w:szCs w:val="22"/>
          <w:highlight w:val="none"/>
          <w:lang w:eastAsia="en-US"/>
        </w:rPr>
        <w:t>负责合同价款的审核结算，甲方按照结算金额向乙方付款。</w:t>
      </w:r>
    </w:p>
    <w:p w14:paraId="6EC129F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83"/>
        <w:jc w:val="left"/>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2.甲方每次向乙方支付服务费用前，乙方向甲方开具符</w:t>
      </w:r>
      <w:r>
        <w:rPr>
          <w:rFonts w:hint="eastAsia" w:ascii="宋体" w:hAnsi="宋体" w:eastAsia="宋体" w:cs="宋体"/>
          <w:snapToGrid w:val="0"/>
          <w:color w:val="000000"/>
          <w:spacing w:val="-3"/>
          <w:kern w:val="0"/>
          <w:sz w:val="22"/>
          <w:szCs w:val="22"/>
          <w:highlight w:val="none"/>
          <w:lang w:eastAsia="en-US"/>
        </w:rPr>
        <w:t>合甲方财务部门要求的等额</w:t>
      </w:r>
      <w:r>
        <w:rPr>
          <w:rFonts w:hint="eastAsia" w:ascii="宋体" w:hAnsi="宋体" w:eastAsia="宋体" w:cs="宋体"/>
          <w:snapToGrid w:val="0"/>
          <w:color w:val="000000"/>
          <w:spacing w:val="-2"/>
          <w:kern w:val="0"/>
          <w:sz w:val="22"/>
          <w:szCs w:val="22"/>
          <w:highlight w:val="none"/>
          <w:lang w:eastAsia="en-US"/>
        </w:rPr>
        <w:t>税务发票，如乙方未向甲方开具发票的，甲方有权拒付服务费用，且甲方</w:t>
      </w:r>
      <w:r>
        <w:rPr>
          <w:rFonts w:hint="eastAsia" w:ascii="宋体" w:hAnsi="宋体" w:eastAsia="宋体" w:cs="宋体"/>
          <w:snapToGrid w:val="0"/>
          <w:color w:val="000000"/>
          <w:spacing w:val="-3"/>
          <w:kern w:val="0"/>
          <w:sz w:val="22"/>
          <w:szCs w:val="22"/>
          <w:highlight w:val="none"/>
          <w:lang w:eastAsia="en-US"/>
        </w:rPr>
        <w:t>的拒付行为不</w:t>
      </w:r>
      <w:r>
        <w:rPr>
          <w:rFonts w:hint="eastAsia" w:ascii="宋体" w:hAnsi="宋体" w:eastAsia="宋体" w:cs="宋体"/>
          <w:snapToGrid w:val="0"/>
          <w:color w:val="000000"/>
          <w:spacing w:val="-2"/>
          <w:kern w:val="0"/>
          <w:sz w:val="22"/>
          <w:szCs w:val="22"/>
          <w:highlight w:val="none"/>
          <w:lang w:eastAsia="en-US"/>
        </w:rPr>
        <w:t>应视为违约。</w:t>
      </w:r>
    </w:p>
    <w:p w14:paraId="69944DC8">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kern w:val="0"/>
          <w:sz w:val="22"/>
          <w:szCs w:val="22"/>
          <w:highlight w:val="none"/>
          <w:lang w:eastAsia="en-US"/>
        </w:rPr>
      </w:pPr>
      <w:bookmarkStart w:id="9" w:name="_Toc15985"/>
      <w:r>
        <w:rPr>
          <w:rFonts w:hint="eastAsia" w:ascii="宋体" w:hAnsi="宋体" w:eastAsia="宋体" w:cs="宋体"/>
          <w:snapToGrid w:val="0"/>
          <w:color w:val="000000"/>
          <w:spacing w:val="-1"/>
          <w:kern w:val="0"/>
          <w:sz w:val="22"/>
          <w:szCs w:val="22"/>
          <w:highlight w:val="none"/>
          <w:lang w:eastAsia="en-US"/>
        </w:rPr>
        <w:t>五、生活垃圾分类服务管理质量标准：</w:t>
      </w:r>
      <w:bookmarkEnd w:id="9"/>
    </w:p>
    <w:p w14:paraId="641E303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kern w:val="0"/>
          <w:sz w:val="22"/>
          <w:szCs w:val="22"/>
          <w:highlight w:val="none"/>
          <w:lang w:eastAsia="en-US"/>
        </w:rPr>
      </w:pPr>
      <w:r>
        <w:rPr>
          <w:rFonts w:hint="eastAsia" w:ascii="宋体" w:hAnsi="宋体" w:eastAsia="宋体" w:cs="宋体"/>
          <w:snapToGrid w:val="0"/>
          <w:color w:val="000000"/>
          <w:spacing w:val="-3"/>
          <w:kern w:val="0"/>
          <w:sz w:val="22"/>
          <w:szCs w:val="22"/>
          <w:highlight w:val="none"/>
          <w:lang w:eastAsia="en-US"/>
        </w:rPr>
        <w:t>乙方严格按照生活垃圾分类工作实施方案管理规定，开展城区生</w:t>
      </w:r>
      <w:r>
        <w:rPr>
          <w:rFonts w:hint="eastAsia" w:ascii="宋体" w:hAnsi="宋体" w:eastAsia="宋体" w:cs="宋体"/>
          <w:snapToGrid w:val="0"/>
          <w:color w:val="000000"/>
          <w:spacing w:val="-2"/>
          <w:kern w:val="0"/>
          <w:sz w:val="22"/>
          <w:szCs w:val="22"/>
          <w:highlight w:val="none"/>
          <w:lang w:eastAsia="en-US"/>
        </w:rPr>
        <w:t>活垃圾分类服务管理工作。甲方根据生活垃圾分类工作实施方</w:t>
      </w:r>
      <w:r>
        <w:rPr>
          <w:rFonts w:hint="eastAsia" w:ascii="宋体" w:hAnsi="宋体" w:eastAsia="宋体" w:cs="宋体"/>
          <w:snapToGrid w:val="0"/>
          <w:color w:val="000000"/>
          <w:spacing w:val="-3"/>
          <w:kern w:val="0"/>
          <w:sz w:val="22"/>
          <w:szCs w:val="22"/>
          <w:highlight w:val="none"/>
          <w:lang w:eastAsia="en-US"/>
        </w:rPr>
        <w:t>案</w:t>
      </w:r>
      <w:r>
        <w:rPr>
          <w:rFonts w:hint="eastAsia" w:ascii="宋体" w:hAnsi="宋体" w:eastAsia="宋体" w:cs="宋体"/>
          <w:snapToGrid w:val="0"/>
          <w:color w:val="000000"/>
          <w:spacing w:val="-3"/>
          <w:kern w:val="0"/>
          <w:sz w:val="22"/>
          <w:szCs w:val="22"/>
          <w:highlight w:val="none"/>
          <w:lang w:eastAsia="zh-CN"/>
        </w:rPr>
        <w:t>、</w:t>
      </w:r>
      <w:r>
        <w:rPr>
          <w:rFonts w:hint="eastAsia" w:ascii="宋体" w:hAnsi="宋体" w:eastAsia="宋体" w:cs="宋体"/>
          <w:snapToGrid w:val="0"/>
          <w:color w:val="000000"/>
          <w:spacing w:val="-2"/>
          <w:kern w:val="0"/>
          <w:sz w:val="22"/>
          <w:szCs w:val="22"/>
          <w:highlight w:val="none"/>
          <w:lang w:eastAsia="en-US"/>
        </w:rPr>
        <w:t>生活垃圾分类运行管理服务考核办法等相关文件规定，对乙方服</w:t>
      </w:r>
      <w:r>
        <w:rPr>
          <w:rFonts w:hint="eastAsia" w:ascii="宋体" w:hAnsi="宋体" w:eastAsia="宋体" w:cs="宋体"/>
          <w:snapToGrid w:val="0"/>
          <w:color w:val="000000"/>
          <w:spacing w:val="-3"/>
          <w:kern w:val="0"/>
          <w:sz w:val="22"/>
          <w:szCs w:val="22"/>
          <w:highlight w:val="none"/>
          <w:lang w:eastAsia="en-US"/>
        </w:rPr>
        <w:t>务管理工作进行</w:t>
      </w:r>
      <w:r>
        <w:rPr>
          <w:rFonts w:hint="eastAsia" w:ascii="宋体" w:hAnsi="宋体" w:eastAsia="宋体" w:cs="宋体"/>
          <w:snapToGrid w:val="0"/>
          <w:color w:val="000000"/>
          <w:spacing w:val="-2"/>
          <w:kern w:val="0"/>
          <w:sz w:val="22"/>
          <w:szCs w:val="22"/>
          <w:highlight w:val="none"/>
          <w:lang w:eastAsia="en-US"/>
        </w:rPr>
        <w:t>考核</w:t>
      </w:r>
      <w:r>
        <w:rPr>
          <w:rFonts w:hint="eastAsia" w:ascii="宋体" w:hAnsi="宋体" w:eastAsia="宋体" w:cs="宋体"/>
          <w:snapToGrid w:val="0"/>
          <w:color w:val="000000"/>
          <w:spacing w:val="-2"/>
          <w:kern w:val="0"/>
          <w:sz w:val="22"/>
          <w:szCs w:val="22"/>
          <w:highlight w:val="none"/>
          <w:lang w:eastAsia="zh-CN"/>
        </w:rPr>
        <w:t>。</w:t>
      </w:r>
    </w:p>
    <w:p w14:paraId="55DB3F6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kern w:val="0"/>
          <w:sz w:val="22"/>
          <w:szCs w:val="22"/>
          <w:highlight w:val="none"/>
          <w:lang w:eastAsia="en-US"/>
        </w:rPr>
      </w:pPr>
      <w:bookmarkStart w:id="10" w:name="_Toc31897"/>
      <w:r>
        <w:rPr>
          <w:rFonts w:hint="eastAsia" w:ascii="宋体" w:hAnsi="宋体" w:eastAsia="宋体" w:cs="宋体"/>
          <w:snapToGrid w:val="0"/>
          <w:color w:val="000000"/>
          <w:spacing w:val="-1"/>
          <w:kern w:val="0"/>
          <w:sz w:val="22"/>
          <w:szCs w:val="22"/>
          <w:highlight w:val="none"/>
          <w:lang w:eastAsia="en-US"/>
        </w:rPr>
        <w:t>六、双方权利、义务：</w:t>
      </w:r>
      <w:bookmarkEnd w:id="10"/>
    </w:p>
    <w:p w14:paraId="75CF567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outlineLvl w:val="2"/>
        <w:rPr>
          <w:rFonts w:hint="eastAsia" w:ascii="宋体" w:hAnsi="宋体" w:eastAsia="宋体" w:cs="宋体"/>
          <w:snapToGrid w:val="0"/>
          <w:color w:val="000000"/>
          <w:spacing w:val="-2"/>
          <w:kern w:val="0"/>
          <w:sz w:val="22"/>
          <w:szCs w:val="22"/>
          <w:highlight w:val="none"/>
          <w:lang w:eastAsia="en-US"/>
        </w:rPr>
      </w:pPr>
      <w:bookmarkStart w:id="11" w:name="_Toc13241"/>
      <w:r>
        <w:rPr>
          <w:rFonts w:hint="eastAsia" w:ascii="宋体" w:hAnsi="宋体" w:eastAsia="宋体" w:cs="宋体"/>
          <w:snapToGrid w:val="0"/>
          <w:color w:val="000000"/>
          <w:spacing w:val="-2"/>
          <w:kern w:val="0"/>
          <w:sz w:val="22"/>
          <w:szCs w:val="22"/>
          <w:highlight w:val="none"/>
          <w:lang w:eastAsia="en-US"/>
        </w:rPr>
        <w:t>（一）甲方权利、义务：</w:t>
      </w:r>
      <w:bookmarkEnd w:id="11"/>
    </w:p>
    <w:p w14:paraId="6D147C7E">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1、甲方监督乙方做好垃圾分类工作，为乙方提供必要的工作便利。</w:t>
      </w:r>
    </w:p>
    <w:p w14:paraId="4E72AD4E">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2、甲方对垃圾分类服务质量进行监督检查，并按照生活垃圾分类运行管理服务考核办法对乙方进行考核。</w:t>
      </w:r>
    </w:p>
    <w:p w14:paraId="350D5CF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3、甲方有权对乙方人员宣传服务等进行监督检查。</w:t>
      </w:r>
    </w:p>
    <w:p w14:paraId="5C39225C">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4、任何组织和个人对本服务范围内垃圾分类工作的考察学习必须经甲方批准同意，</w:t>
      </w:r>
    </w:p>
    <w:p w14:paraId="7BEADBF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乙方不得在未经甲方同意的情况下组织任何参观考察学习。</w:t>
      </w:r>
    </w:p>
    <w:p w14:paraId="665F6BF9">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outlineLvl w:val="2"/>
        <w:rPr>
          <w:rFonts w:hint="eastAsia" w:ascii="宋体" w:hAnsi="宋体" w:eastAsia="宋体" w:cs="宋体"/>
          <w:snapToGrid w:val="0"/>
          <w:color w:val="000000"/>
          <w:spacing w:val="-2"/>
          <w:kern w:val="0"/>
          <w:sz w:val="22"/>
          <w:szCs w:val="22"/>
          <w:highlight w:val="none"/>
          <w:lang w:eastAsia="en-US"/>
        </w:rPr>
      </w:pPr>
      <w:bookmarkStart w:id="12" w:name="_Toc23237"/>
      <w:r>
        <w:rPr>
          <w:rFonts w:hint="eastAsia" w:ascii="宋体" w:hAnsi="宋体" w:eastAsia="宋体" w:cs="宋体"/>
          <w:snapToGrid w:val="0"/>
          <w:color w:val="000000"/>
          <w:spacing w:val="-2"/>
          <w:kern w:val="0"/>
          <w:sz w:val="22"/>
          <w:szCs w:val="22"/>
          <w:highlight w:val="none"/>
          <w:lang w:eastAsia="en-US"/>
        </w:rPr>
        <w:t>（二）乙方权利、义务：</w:t>
      </w:r>
      <w:bookmarkEnd w:id="12"/>
    </w:p>
    <w:p w14:paraId="146DEADD">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1、乙方应保证在签订本合同时，已经获得履行本合同的相关资质。</w:t>
      </w:r>
    </w:p>
    <w:p w14:paraId="0842C90D">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2、乙方应服从甲方的监督、管理，切实采取有效措施保证本项目服务区域的垃圾分类工作标准。</w:t>
      </w:r>
    </w:p>
    <w:p w14:paraId="5B48D8F6">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3、乙方必须按照合同约定安排人员上岗，并向甲方提供人员名册和网格化管理图，遇有人员变化时应及时变更，并向甲方提供备案。</w:t>
      </w:r>
    </w:p>
    <w:p w14:paraId="1E2C14A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4、乙方使用的工作人员必须身体健康、仪容端正、品德良好、无违法犯罪记录， 并按照《劳动合同法》及《劳动法》要求签订用工合同及用工。男年龄不超过60岁， 女年龄不超过55岁，并做好相关保险、统筹等保障，在工作过程中出现的任何不安全事故等甲方不负任何责任，均由乙方承担，因此给甲方造成的一切损失，由乙方赔偿。</w:t>
      </w:r>
    </w:p>
    <w:p w14:paraId="5236C1A5">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5、乙方必须加强工作人员安全生产教育管理，全年安全教育培训不少于12次。乙方必须遵循安全作业和文明作业的规定，在履行本合同的过程中，采取严格的安全防范措施。乙方负责服务</w:t>
      </w:r>
      <w:r>
        <w:rPr>
          <w:rFonts w:hint="eastAsia" w:ascii="宋体" w:hAnsi="宋体" w:eastAsia="宋体" w:cs="宋体"/>
          <w:snapToGrid w:val="0"/>
          <w:color w:val="000000"/>
          <w:spacing w:val="-2"/>
          <w:kern w:val="0"/>
          <w:sz w:val="22"/>
          <w:szCs w:val="22"/>
          <w:highlight w:val="none"/>
          <w:lang w:val="en-US" w:eastAsia="zh-CN"/>
        </w:rPr>
        <w:t>工作</w:t>
      </w:r>
      <w:r>
        <w:rPr>
          <w:rFonts w:hint="eastAsia" w:ascii="宋体" w:hAnsi="宋体" w:eastAsia="宋体" w:cs="宋体"/>
          <w:snapToGrid w:val="0"/>
          <w:color w:val="000000"/>
          <w:spacing w:val="-2"/>
          <w:kern w:val="0"/>
          <w:sz w:val="22"/>
          <w:szCs w:val="22"/>
          <w:highlight w:val="none"/>
          <w:lang w:eastAsia="en-US"/>
        </w:rPr>
        <w:t>全过程的安全，发生任何事故均与甲方无关。</w:t>
      </w:r>
    </w:p>
    <w:p w14:paraId="394DA1D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6、乙方必须按时向工作人员发放月工资及劳保、福利等费用，若出现因拖延、拖欠人员劳务费用的投诉、上访事件，与甲方无关，由乙方全权处理，因此引起的所有后果由乙方承担。甲方根据事件严重程度，有权与乙方终止合同。</w:t>
      </w:r>
    </w:p>
    <w:p w14:paraId="56A0F29E">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7、乙方应对工作人员进行相应的岗位培训。定期对人员进行岗位知识、工作技能、应急预案等培训。</w:t>
      </w:r>
    </w:p>
    <w:p w14:paraId="3079BD36">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8、乙方必须加强对所辖区域的垃圾分类业态进行日常巡视检查，及时解决处理所存在的问题，乙方向甲方提供各个岗位人员工作时间，以备甲方检查考核。</w:t>
      </w:r>
    </w:p>
    <w:p w14:paraId="37E333F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9、乙方不得将承包事项再转包。</w:t>
      </w:r>
    </w:p>
    <w:p w14:paraId="0516463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outlineLvl w:val="1"/>
        <w:rPr>
          <w:rFonts w:hint="eastAsia" w:ascii="宋体" w:hAnsi="宋体" w:eastAsia="宋体" w:cs="宋体"/>
          <w:snapToGrid w:val="0"/>
          <w:color w:val="000000"/>
          <w:kern w:val="0"/>
          <w:sz w:val="22"/>
          <w:szCs w:val="22"/>
          <w:highlight w:val="none"/>
          <w:lang w:eastAsia="en-US"/>
        </w:rPr>
      </w:pPr>
      <w:bookmarkStart w:id="13" w:name="_Toc23756"/>
      <w:r>
        <w:rPr>
          <w:rFonts w:hint="eastAsia" w:ascii="宋体" w:hAnsi="宋体" w:eastAsia="宋体" w:cs="宋体"/>
          <w:snapToGrid w:val="0"/>
          <w:color w:val="000000"/>
          <w:spacing w:val="-1"/>
          <w:kern w:val="0"/>
          <w:sz w:val="22"/>
          <w:szCs w:val="22"/>
          <w:highlight w:val="none"/>
          <w:lang w:eastAsia="en-US"/>
        </w:rPr>
        <w:t>七、违约责任：</w:t>
      </w:r>
      <w:bookmarkEnd w:id="13"/>
    </w:p>
    <w:p w14:paraId="40521C44">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4"/>
          <w:szCs w:val="24"/>
          <w:highlight w:val="none"/>
          <w:lang w:eastAsia="en-US"/>
        </w:rPr>
      </w:pPr>
      <w:r>
        <w:rPr>
          <w:rFonts w:hint="eastAsia" w:ascii="宋体" w:hAnsi="宋体" w:eastAsia="宋体" w:cs="宋体"/>
          <w:snapToGrid w:val="0"/>
          <w:color w:val="000000"/>
          <w:spacing w:val="-2"/>
          <w:kern w:val="0"/>
          <w:sz w:val="22"/>
          <w:szCs w:val="22"/>
          <w:highlight w:val="none"/>
          <w:lang w:eastAsia="en-US"/>
        </w:rPr>
        <w:t>1、如</w:t>
      </w:r>
      <w:r>
        <w:rPr>
          <w:rFonts w:hint="eastAsia" w:ascii="宋体" w:hAnsi="宋体" w:eastAsia="宋体" w:cs="宋体"/>
          <w:snapToGrid w:val="0"/>
          <w:color w:val="000000"/>
          <w:spacing w:val="-2"/>
          <w:kern w:val="0"/>
          <w:sz w:val="24"/>
          <w:szCs w:val="24"/>
          <w:highlight w:val="none"/>
          <w:lang w:eastAsia="en-US"/>
        </w:rPr>
        <w:t>果乙方没有按照合同规定的时间提供服务，每延误一周赔偿费按合同价款的 0.5％计收，直至提供服务为止。误期赔偿费的最高限额为合同总价格的百分之五（5％）。</w:t>
      </w:r>
    </w:p>
    <w:p w14:paraId="7119AB9E">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4"/>
          <w:szCs w:val="24"/>
          <w:highlight w:val="none"/>
          <w:lang w:eastAsia="en-US"/>
        </w:rPr>
      </w:pPr>
      <w:r>
        <w:rPr>
          <w:rFonts w:hint="eastAsia" w:ascii="宋体" w:hAnsi="宋体" w:eastAsia="宋体" w:cs="宋体"/>
          <w:snapToGrid w:val="0"/>
          <w:color w:val="000000"/>
          <w:spacing w:val="-2"/>
          <w:kern w:val="0"/>
          <w:sz w:val="24"/>
          <w:szCs w:val="24"/>
          <w:highlight w:val="none"/>
          <w:lang w:eastAsia="en-US"/>
        </w:rPr>
        <w:t>2、</w:t>
      </w:r>
      <w:r>
        <w:rPr>
          <w:rFonts w:hint="eastAsia" w:ascii="宋体" w:hAnsi="宋体" w:eastAsia="宋体" w:cs="宋体"/>
          <w:snapToGrid w:val="0"/>
          <w:color w:val="000000"/>
          <w:spacing w:val="-2"/>
          <w:kern w:val="0"/>
          <w:sz w:val="24"/>
          <w:szCs w:val="24"/>
          <w:highlight w:val="none"/>
          <w:lang w:val="en-US" w:eastAsia="zh-CN"/>
        </w:rPr>
        <w:t>乙方出现下列情形之一的</w:t>
      </w:r>
      <w:r>
        <w:rPr>
          <w:rFonts w:hint="eastAsia" w:ascii="宋体" w:hAnsi="宋体" w:eastAsia="宋体" w:cs="宋体"/>
          <w:snapToGrid w:val="0"/>
          <w:color w:val="000000"/>
          <w:spacing w:val="-2"/>
          <w:kern w:val="0"/>
          <w:sz w:val="24"/>
          <w:szCs w:val="24"/>
          <w:highlight w:val="none"/>
          <w:lang w:eastAsia="en-US"/>
        </w:rPr>
        <w:t>，甲方可向乙方发出书面违约通知书，提出终止部分或全部合同：</w:t>
      </w:r>
    </w:p>
    <w:p w14:paraId="79628921">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91"/>
        <w:jc w:val="both"/>
        <w:textAlignment w:val="auto"/>
        <w:rPr>
          <w:rFonts w:hint="eastAsia" w:ascii="宋体" w:hAnsi="宋体" w:eastAsia="宋体" w:cs="宋体"/>
          <w:snapToGrid w:val="0"/>
          <w:color w:val="000000"/>
          <w:spacing w:val="-2"/>
          <w:kern w:val="0"/>
          <w:sz w:val="24"/>
          <w:szCs w:val="24"/>
          <w:highlight w:val="none"/>
          <w:lang w:eastAsia="en-US"/>
        </w:rPr>
      </w:pPr>
      <w:r>
        <w:rPr>
          <w:rFonts w:hint="eastAsia" w:ascii="宋体" w:hAnsi="宋体" w:eastAsia="宋体" w:cs="宋体"/>
          <w:snapToGrid w:val="0"/>
          <w:color w:val="000000"/>
          <w:spacing w:val="-2"/>
          <w:kern w:val="0"/>
          <w:sz w:val="24"/>
          <w:szCs w:val="24"/>
          <w:highlight w:val="none"/>
          <w:lang w:eastAsia="en-US"/>
        </w:rPr>
        <w:t>（1）乙方未能在合同规定的期限内提供全部服务；或误期赔偿费达到最高限额。如果乙方未能履行合同规定的其它任何义务。</w:t>
      </w:r>
    </w:p>
    <w:p w14:paraId="1686A2BF">
      <w:pPr>
        <w:keepNext w:val="0"/>
        <w:keepLines w:val="0"/>
        <w:pageBreakBefore w:val="0"/>
        <w:widowControl w:val="0"/>
        <w:numPr>
          <w:ilvl w:val="0"/>
          <w:numId w:val="0"/>
        </w:numPr>
        <w:kinsoku/>
        <w:wordWrap/>
        <w:overflowPunct/>
        <w:topLinePunct w:val="0"/>
        <w:autoSpaceDE/>
        <w:autoSpaceDN/>
        <w:bidi w:val="0"/>
        <w:adjustRightInd/>
        <w:snapToGrid/>
        <w:spacing w:beforeAutospacing="0" w:afterAutospacing="0" w:line="360" w:lineRule="auto"/>
        <w:ind w:left="0" w:leftChars="0" w:right="0" w:firstLine="0" w:firstLineChars="0"/>
        <w:jc w:val="left"/>
        <w:textAlignment w:val="auto"/>
        <w:outlineLvl w:val="1"/>
        <w:rPr>
          <w:rFonts w:hint="eastAsia" w:ascii="宋体" w:hAnsi="宋体" w:eastAsia="宋体" w:cs="宋体"/>
          <w:snapToGrid w:val="0"/>
          <w:color w:val="000000"/>
          <w:kern w:val="0"/>
          <w:sz w:val="24"/>
          <w:szCs w:val="24"/>
          <w:highlight w:val="none"/>
          <w:lang w:eastAsia="en-US"/>
        </w:rPr>
      </w:pPr>
      <w:bookmarkStart w:id="14" w:name="_Toc7143"/>
      <w:r>
        <w:rPr>
          <w:rFonts w:hint="eastAsia" w:ascii="宋体" w:hAnsi="宋体" w:eastAsia="宋体" w:cs="宋体"/>
          <w:snapToGrid w:val="0"/>
          <w:color w:val="000000"/>
          <w:spacing w:val="-1"/>
          <w:kern w:val="0"/>
          <w:sz w:val="24"/>
          <w:szCs w:val="24"/>
          <w:highlight w:val="none"/>
          <w:lang w:eastAsia="en-US"/>
        </w:rPr>
        <w:t>八、争议解决方式：</w:t>
      </w:r>
      <w:bookmarkEnd w:id="14"/>
    </w:p>
    <w:p w14:paraId="162B1DF0">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right="0" w:firstLine="476" w:firstLineChars="200"/>
        <w:jc w:val="left"/>
        <w:textAlignment w:val="auto"/>
        <w:rPr>
          <w:rFonts w:hint="eastAsia" w:ascii="宋体" w:hAnsi="宋体" w:eastAsia="宋体" w:cs="宋体"/>
          <w:snapToGrid w:val="0"/>
          <w:color w:val="000000"/>
          <w:spacing w:val="-1"/>
          <w:kern w:val="0"/>
          <w:sz w:val="24"/>
          <w:szCs w:val="24"/>
          <w:highlight w:val="none"/>
          <w:lang w:eastAsia="en-US"/>
        </w:rPr>
      </w:pPr>
      <w:r>
        <w:rPr>
          <w:rFonts w:hint="eastAsia" w:ascii="宋体" w:hAnsi="宋体" w:eastAsia="宋体" w:cs="宋体"/>
          <w:snapToGrid w:val="0"/>
          <w:color w:val="000000"/>
          <w:spacing w:val="-1"/>
          <w:kern w:val="0"/>
          <w:sz w:val="24"/>
          <w:szCs w:val="24"/>
          <w:highlight w:val="none"/>
          <w:lang w:eastAsia="en-US"/>
        </w:rPr>
        <w:t>因执行本合同所发生的或与本合同有关的一切争议,双方应通过友好协商解决。协商不成的向合同履行地人民法院提起诉讼。</w:t>
      </w:r>
    </w:p>
    <w:p w14:paraId="33C66B00">
      <w:pPr>
        <w:pageBreakBefore w:val="0"/>
        <w:widowControl/>
        <w:kinsoku/>
        <w:overflowPunct/>
        <w:topLinePunct w:val="0"/>
        <w:autoSpaceDE w:val="0"/>
        <w:autoSpaceDN w:val="0"/>
        <w:bidi w:val="0"/>
        <w:adjustRightInd w:val="0"/>
        <w:snapToGrid w:val="0"/>
        <w:spacing w:beforeAutospacing="0" w:afterAutospacing="0" w:line="360" w:lineRule="auto"/>
        <w:ind w:right="0"/>
        <w:jc w:val="both"/>
        <w:textAlignment w:val="baseline"/>
        <w:outlineLvl w:val="2"/>
        <w:rPr>
          <w:rFonts w:hint="eastAsia" w:ascii="宋体" w:hAnsi="宋体" w:eastAsia="宋体" w:cs="宋体"/>
          <w:snapToGrid w:val="0"/>
          <w:color w:val="000000"/>
          <w:spacing w:val="-2"/>
          <w:kern w:val="0"/>
          <w:sz w:val="24"/>
          <w:szCs w:val="24"/>
          <w:highlight w:val="none"/>
          <w:lang w:eastAsia="en-US"/>
        </w:rPr>
      </w:pPr>
      <w:bookmarkStart w:id="15" w:name="_Toc20215"/>
      <w:r>
        <w:rPr>
          <w:rFonts w:hint="eastAsia" w:ascii="宋体" w:hAnsi="宋体" w:eastAsia="宋体" w:cs="宋体"/>
          <w:snapToGrid w:val="0"/>
          <w:color w:val="000000"/>
          <w:spacing w:val="-2"/>
          <w:kern w:val="0"/>
          <w:sz w:val="24"/>
          <w:szCs w:val="24"/>
          <w:highlight w:val="none"/>
          <w:lang w:eastAsia="en-US"/>
        </w:rPr>
        <w:t>第九条、合同生效及其它</w:t>
      </w:r>
      <w:bookmarkEnd w:id="15"/>
    </w:p>
    <w:p w14:paraId="6BC6B760">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在合同履行过程中，如有其它未尽事项，甲乙双方共同协商达成一致后签订补充合同。</w:t>
      </w:r>
    </w:p>
    <w:p w14:paraId="58107DA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本合同正本一式</w:t>
      </w:r>
      <w:r>
        <w:rPr>
          <w:rFonts w:hint="eastAsia" w:ascii="宋体" w:hAnsi="宋体" w:eastAsia="宋体" w:cs="宋体"/>
          <w:snapToGrid w:val="0"/>
          <w:color w:val="000000"/>
          <w:spacing w:val="-2"/>
          <w:kern w:val="0"/>
          <w:sz w:val="22"/>
          <w:szCs w:val="22"/>
          <w:highlight w:val="none"/>
          <w:u w:val="single"/>
          <w:lang w:val="en-US" w:eastAsia="zh-CN"/>
        </w:rPr>
        <w:t xml:space="preserve">  </w:t>
      </w:r>
      <w:r>
        <w:rPr>
          <w:rFonts w:hint="eastAsia" w:ascii="宋体" w:hAnsi="宋体" w:eastAsia="宋体" w:cs="宋体"/>
          <w:snapToGrid w:val="0"/>
          <w:color w:val="000000"/>
          <w:spacing w:val="-2"/>
          <w:kern w:val="0"/>
          <w:sz w:val="22"/>
          <w:szCs w:val="22"/>
          <w:highlight w:val="none"/>
          <w:lang w:eastAsia="en-US"/>
        </w:rPr>
        <w:t>份，甲方执</w:t>
      </w:r>
      <w:r>
        <w:rPr>
          <w:rFonts w:hint="eastAsia" w:ascii="宋体" w:hAnsi="宋体" w:eastAsia="宋体" w:cs="宋体"/>
          <w:snapToGrid w:val="0"/>
          <w:color w:val="000000"/>
          <w:spacing w:val="-2"/>
          <w:kern w:val="0"/>
          <w:sz w:val="22"/>
          <w:szCs w:val="22"/>
          <w:highlight w:val="none"/>
          <w:u w:val="single"/>
          <w:lang w:val="en-US" w:eastAsia="zh-CN"/>
        </w:rPr>
        <w:t xml:space="preserve">   </w:t>
      </w:r>
      <w:r>
        <w:rPr>
          <w:rFonts w:hint="eastAsia" w:ascii="宋体" w:hAnsi="宋体" w:eastAsia="宋体" w:cs="宋体"/>
          <w:snapToGrid w:val="0"/>
          <w:color w:val="000000"/>
          <w:spacing w:val="-2"/>
          <w:kern w:val="0"/>
          <w:sz w:val="22"/>
          <w:szCs w:val="22"/>
          <w:highlight w:val="none"/>
          <w:lang w:eastAsia="en-US"/>
        </w:rPr>
        <w:t>份、乙方执</w:t>
      </w:r>
      <w:r>
        <w:rPr>
          <w:rFonts w:hint="eastAsia" w:ascii="宋体" w:hAnsi="宋体" w:eastAsia="宋体" w:cs="宋体"/>
          <w:snapToGrid w:val="0"/>
          <w:color w:val="000000"/>
          <w:spacing w:val="-2"/>
          <w:kern w:val="0"/>
          <w:sz w:val="22"/>
          <w:szCs w:val="22"/>
          <w:highlight w:val="none"/>
          <w:u w:val="single"/>
          <w:lang w:val="en-US" w:eastAsia="zh-CN"/>
        </w:rPr>
        <w:t xml:space="preserve">   </w:t>
      </w:r>
      <w:r>
        <w:rPr>
          <w:rFonts w:hint="eastAsia" w:ascii="宋体" w:hAnsi="宋体" w:eastAsia="宋体" w:cs="宋体"/>
          <w:snapToGrid w:val="0"/>
          <w:color w:val="000000"/>
          <w:spacing w:val="-2"/>
          <w:kern w:val="0"/>
          <w:sz w:val="22"/>
          <w:szCs w:val="22"/>
          <w:highlight w:val="none"/>
          <w:lang w:eastAsia="en-US"/>
        </w:rPr>
        <w:t>份。</w:t>
      </w:r>
    </w:p>
    <w:p w14:paraId="2695E8B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合同由甲乙双方共同签字盖章， 自甲乙双方共同签字盖章之日起生效。</w:t>
      </w:r>
    </w:p>
    <w:p w14:paraId="4AFB782C">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firstLine="491"/>
        <w:jc w:val="both"/>
        <w:textAlignment w:val="baseline"/>
        <w:rPr>
          <w:rFonts w:hint="eastAsia" w:ascii="宋体" w:hAnsi="宋体" w:eastAsia="宋体" w:cs="宋体"/>
          <w:snapToGrid w:val="0"/>
          <w:color w:val="000000"/>
          <w:spacing w:val="-2"/>
          <w:kern w:val="0"/>
          <w:sz w:val="22"/>
          <w:szCs w:val="22"/>
          <w:highlight w:val="none"/>
          <w:lang w:eastAsia="en-US"/>
        </w:rPr>
      </w:pPr>
      <w:r>
        <w:rPr>
          <w:rFonts w:hint="eastAsia" w:ascii="宋体" w:hAnsi="宋体" w:eastAsia="宋体" w:cs="宋体"/>
          <w:snapToGrid w:val="0"/>
          <w:color w:val="000000"/>
          <w:spacing w:val="-2"/>
          <w:kern w:val="0"/>
          <w:sz w:val="22"/>
          <w:szCs w:val="22"/>
          <w:highlight w:val="none"/>
          <w:lang w:eastAsia="en-US"/>
        </w:rPr>
        <w:t>（此后无正文）</w:t>
      </w:r>
    </w:p>
    <w:p w14:paraId="1CEF13FB">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rPr>
      </w:pPr>
    </w:p>
    <w:p w14:paraId="12A8568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rPr>
      </w:pPr>
      <w:r>
        <w:rPr>
          <w:rFonts w:hint="eastAsia" w:ascii="宋体" w:hAnsi="宋体" w:eastAsia="宋体" w:cs="宋体"/>
          <w:snapToGrid w:val="0"/>
          <w:color w:val="auto"/>
          <w:kern w:val="0"/>
          <w:sz w:val="22"/>
          <w:szCs w:val="22"/>
          <w:highlight w:val="none"/>
          <w:lang w:eastAsia="en-US"/>
        </w:rPr>
        <w:t>签章页：</w:t>
      </w:r>
    </w:p>
    <w:tbl>
      <w:tblPr>
        <w:tblStyle w:val="2"/>
        <w:tblW w:w="4944"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255"/>
        <w:gridCol w:w="4172"/>
      </w:tblGrid>
      <w:tr w14:paraId="00AA11B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2524" w:type="pct"/>
            <w:noWrap/>
            <w:vAlign w:val="center"/>
          </w:tcPr>
          <w:p w14:paraId="4F63CCE8">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center"/>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甲  方</w:t>
            </w:r>
          </w:p>
        </w:tc>
        <w:tc>
          <w:tcPr>
            <w:tcW w:w="2475" w:type="pct"/>
            <w:noWrap/>
            <w:vAlign w:val="center"/>
          </w:tcPr>
          <w:p w14:paraId="2653CF8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center"/>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乙  方</w:t>
            </w:r>
          </w:p>
        </w:tc>
      </w:tr>
      <w:tr w14:paraId="4DBB73F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953E91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（公章）</w:t>
            </w:r>
          </w:p>
        </w:tc>
        <w:tc>
          <w:tcPr>
            <w:tcW w:w="2475" w:type="pct"/>
            <w:noWrap/>
            <w:vAlign w:val="center"/>
          </w:tcPr>
          <w:p w14:paraId="7E6B1BC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（公章）</w:t>
            </w:r>
          </w:p>
        </w:tc>
      </w:tr>
      <w:tr w14:paraId="15B0C0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270275F">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地址：</w:t>
            </w:r>
          </w:p>
        </w:tc>
        <w:tc>
          <w:tcPr>
            <w:tcW w:w="2475" w:type="pct"/>
            <w:noWrap/>
            <w:vAlign w:val="center"/>
          </w:tcPr>
          <w:p w14:paraId="1D442D5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地址：</w:t>
            </w:r>
          </w:p>
        </w:tc>
      </w:tr>
      <w:tr w14:paraId="4B85E9A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25B65BB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邮编：</w:t>
            </w:r>
          </w:p>
        </w:tc>
        <w:tc>
          <w:tcPr>
            <w:tcW w:w="2475" w:type="pct"/>
            <w:noWrap/>
            <w:vAlign w:val="center"/>
          </w:tcPr>
          <w:p w14:paraId="0AD319B0">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邮编：</w:t>
            </w:r>
          </w:p>
        </w:tc>
      </w:tr>
      <w:tr w14:paraId="7D2225A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B4BC2CC">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法定代表人：</w:t>
            </w:r>
          </w:p>
        </w:tc>
        <w:tc>
          <w:tcPr>
            <w:tcW w:w="2475" w:type="pct"/>
            <w:noWrap/>
            <w:vAlign w:val="center"/>
          </w:tcPr>
          <w:p w14:paraId="55D7F61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法定代表人：</w:t>
            </w:r>
          </w:p>
        </w:tc>
      </w:tr>
      <w:tr w14:paraId="5DD6F98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36567B13">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负责人：</w:t>
            </w:r>
          </w:p>
        </w:tc>
        <w:tc>
          <w:tcPr>
            <w:tcW w:w="2475" w:type="pct"/>
            <w:noWrap/>
            <w:vAlign w:val="center"/>
          </w:tcPr>
          <w:p w14:paraId="25748A09">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负责人：</w:t>
            </w:r>
          </w:p>
        </w:tc>
      </w:tr>
      <w:tr w14:paraId="10DF06D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677DE8F6">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电话：</w:t>
            </w:r>
          </w:p>
        </w:tc>
        <w:tc>
          <w:tcPr>
            <w:tcW w:w="2475" w:type="pct"/>
            <w:noWrap/>
            <w:vAlign w:val="center"/>
          </w:tcPr>
          <w:p w14:paraId="7C362986">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电话：</w:t>
            </w:r>
          </w:p>
        </w:tc>
      </w:tr>
      <w:tr w14:paraId="2F236FD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3AA4C1A">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p>
        </w:tc>
        <w:tc>
          <w:tcPr>
            <w:tcW w:w="2475" w:type="pct"/>
            <w:noWrap/>
            <w:vAlign w:val="center"/>
          </w:tcPr>
          <w:p w14:paraId="71DB4E2E">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开户银行：</w:t>
            </w:r>
          </w:p>
        </w:tc>
      </w:tr>
      <w:tr w14:paraId="1D32365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0BF2B667">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p>
        </w:tc>
        <w:tc>
          <w:tcPr>
            <w:tcW w:w="2475" w:type="pct"/>
            <w:noWrap/>
            <w:vAlign w:val="center"/>
          </w:tcPr>
          <w:p w14:paraId="079FB65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账号：</w:t>
            </w:r>
          </w:p>
        </w:tc>
      </w:tr>
      <w:tr w14:paraId="7E0F17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6" w:hRule="atLeast"/>
        </w:trPr>
        <w:tc>
          <w:tcPr>
            <w:tcW w:w="2524" w:type="pct"/>
            <w:noWrap/>
            <w:vAlign w:val="center"/>
          </w:tcPr>
          <w:p w14:paraId="59B10F92">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日期：   年   月   日</w:t>
            </w:r>
          </w:p>
        </w:tc>
        <w:tc>
          <w:tcPr>
            <w:tcW w:w="2475" w:type="pct"/>
            <w:noWrap/>
            <w:vAlign w:val="center"/>
          </w:tcPr>
          <w:p w14:paraId="61050831">
            <w:pPr>
              <w:pageBreakBefore w:val="0"/>
              <w:widowControl/>
              <w:kinsoku/>
              <w:overflowPunct/>
              <w:topLinePunct w:val="0"/>
              <w:autoSpaceDE w:val="0"/>
              <w:autoSpaceDN w:val="0"/>
              <w:bidi w:val="0"/>
              <w:adjustRightInd w:val="0"/>
              <w:snapToGrid w:val="0"/>
              <w:spacing w:beforeAutospacing="0" w:afterAutospacing="0" w:line="360" w:lineRule="auto"/>
              <w:ind w:left="0" w:leftChars="0" w:right="0"/>
              <w:jc w:val="left"/>
              <w:textAlignment w:val="baseline"/>
              <w:rPr>
                <w:rFonts w:hint="eastAsia" w:ascii="宋体" w:hAnsi="宋体" w:eastAsia="宋体" w:cs="宋体"/>
                <w:snapToGrid w:val="0"/>
                <w:color w:val="auto"/>
                <w:kern w:val="0"/>
                <w:sz w:val="22"/>
                <w:szCs w:val="22"/>
                <w:highlight w:val="none"/>
                <w:lang w:eastAsia="en-US" w:bidi="ar"/>
              </w:rPr>
            </w:pPr>
            <w:r>
              <w:rPr>
                <w:rFonts w:hint="eastAsia" w:ascii="宋体" w:hAnsi="宋体" w:eastAsia="宋体" w:cs="宋体"/>
                <w:snapToGrid w:val="0"/>
                <w:color w:val="auto"/>
                <w:kern w:val="0"/>
                <w:sz w:val="22"/>
                <w:szCs w:val="22"/>
                <w:highlight w:val="none"/>
                <w:lang w:eastAsia="en-US" w:bidi="ar"/>
              </w:rPr>
              <w:t>日期：   年   月   日</w:t>
            </w:r>
          </w:p>
        </w:tc>
      </w:tr>
    </w:tbl>
    <w:p w14:paraId="1313B4A5">
      <w:pPr>
        <w:spacing w:line="360" w:lineRule="auto"/>
        <w:rPr>
          <w:sz w:val="22"/>
          <w:szCs w:val="22"/>
        </w:rPr>
      </w:pPr>
    </w:p>
    <w:p w14:paraId="483AEAA4">
      <w:bookmarkStart w:id="16" w:name="_GoBack"/>
      <w:bookmarkEnd w:id="16"/>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844102"/>
    <w:multiLevelType w:val="singleLevel"/>
    <w:tmpl w:val="00844102"/>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3050C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2025-05-08T09:35:46Z</dcterms:created>
  <dc:creator>admin</dc:creator>
  <cp:lastModifiedBy>er</cp:lastModifiedBy>
  <dcterms:modified xsi:type="dcterms:W3CDTF">2025-05-08T09:35:47Z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eyJoZGlkIjoiMzg3ZTZlZGQ5Y2UyNTY0NjgwZWQ5YmM5MzRhOWExZWYiLCJ1c2VySWQiOiIzMzMxNjYwNDkifQ==</vt:lpwstr>
  </property>
  <property fmtid="{D5CDD505-2E9C-101B-9397-08002B2CF9AE}" pid="4" name="ICV">
    <vt:lpwstr>8B6E0E309FF44BDFB8794388A6EAA1C7_12</vt:lpwstr>
  </property>
</Properties>
</file>