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版本号：YCRH-2025-043020250508001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铜川市耀州区居民小区生活垃圾分类收集处理项目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YCRH-2025-0430</w:t>
      </w:r>
      <w:r>
        <w:br/>
      </w:r>
      <w:r>
        <w:br/>
      </w:r>
      <w:r>
        <w:br/>
      </w:r>
    </w:p>
    <w:p>
      <w:pPr>
        <w:pStyle w:val="null3"/>
        <w:jc w:val="center"/>
        <w:outlineLvl w:val="2"/>
      </w:pPr>
      <w:r>
        <w:rPr>
          <w:rFonts w:ascii="仿宋_GB2312" w:hAnsi="仿宋_GB2312" w:cs="仿宋_GB2312" w:eastAsia="仿宋_GB2312"/>
          <w:sz w:val="28"/>
          <w:b/>
        </w:rPr>
        <w:t>铜川市耀州区住房和城乡建设局</w:t>
      </w:r>
    </w:p>
    <w:p>
      <w:pPr>
        <w:pStyle w:val="null3"/>
        <w:jc w:val="center"/>
        <w:outlineLvl w:val="2"/>
      </w:pPr>
      <w:r>
        <w:rPr>
          <w:rFonts w:ascii="仿宋_GB2312" w:hAnsi="仿宋_GB2312" w:cs="仿宋_GB2312" w:eastAsia="仿宋_GB2312"/>
          <w:sz w:val="28"/>
          <w:b/>
        </w:rPr>
        <w:t>铜川耀城任禾项目管理有限公司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铜川耀城任禾项目管理有限公司</w:t>
      </w:r>
      <w:r>
        <w:rPr>
          <w:rFonts w:ascii="仿宋_GB2312" w:hAnsi="仿宋_GB2312" w:cs="仿宋_GB2312" w:eastAsia="仿宋_GB2312"/>
        </w:rPr>
        <w:t>（以下简称“代理机构”）受</w:t>
      </w:r>
      <w:r>
        <w:rPr>
          <w:rFonts w:ascii="仿宋_GB2312" w:hAnsi="仿宋_GB2312" w:cs="仿宋_GB2312" w:eastAsia="仿宋_GB2312"/>
        </w:rPr>
        <w:t>铜川市耀州区住房和城乡建设局</w:t>
      </w:r>
      <w:r>
        <w:rPr>
          <w:rFonts w:ascii="仿宋_GB2312" w:hAnsi="仿宋_GB2312" w:cs="仿宋_GB2312" w:eastAsia="仿宋_GB2312"/>
        </w:rPr>
        <w:t>委托，拟对</w:t>
      </w:r>
      <w:r>
        <w:rPr>
          <w:rFonts w:ascii="仿宋_GB2312" w:hAnsi="仿宋_GB2312" w:cs="仿宋_GB2312" w:eastAsia="仿宋_GB2312"/>
        </w:rPr>
        <w:t>铜川市耀州区居民小区生活垃圾分类收集处理项目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YCRH-2025-0430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铜川市耀州区居民小区生活垃圾分类收集处理项目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按照全区域覆盖、全方位推进、一体化管理的原则，围绕“最大限度减少生活垃圾总量，加快推进资源循环综合利用”的总体目标，加快推进全区 102 个小区实现生活垃圾四分类，实现“六个有”（即有齐全的设施设备、有成熟的治理技术、有稳定的保洁队伍、有长效的资金保障、有完善的监管制度、有突出的治理实绩）。</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采购包1（铜川市耀州区居民小区生活垃圾分类收集处理项目）：属于专门面向中小企业采购。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并出具合法有效的营业执照或事业单位法人证书等国家规定的相关证明，自然人参与的提供其身份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委托书：法定代表人（主要负责人）委托代理人参加投标时，应提供法定代表人（主要负责人）授权委托书；法定代表人（主要负责人）亲自参加投标时，应提供法定代表人（主要负责人）身份证明书；其他组织、自然人参加投标的，须出具参加投标的证明资料。</w:t>
      </w:r>
    </w:p>
    <w:p>
      <w:pPr>
        <w:pStyle w:val="null3"/>
      </w:pPr>
      <w:r>
        <w:rPr>
          <w:rFonts w:ascii="仿宋_GB2312" w:hAnsi="仿宋_GB2312" w:cs="仿宋_GB2312" w:eastAsia="仿宋_GB2312"/>
        </w:rPr>
        <w:t>3、财务状况报告：提供具有财务审计资质的单位出具经审计的2023年或2024年年度的财务审计报告（包括报告正文、资产负债表、利润表、现金流量表及所有者权益变动表（无所有者权益表的提供书面说明）、附注、会计师事务所营业执照及注册会计师执业证书，报告正文应有会计师事务所公章，2个注册会计师的签字和盖章）；事业法人提供部门决算报告；或在开标日期前6个月内其基本开户银行出具的资信证明（附《基本存款账户信息》或《银行开户许可证》复印件）；或财政部门认可的政府采购专业担保机构出具的投标担保函。</w:t>
      </w:r>
    </w:p>
    <w:p>
      <w:pPr>
        <w:pStyle w:val="null3"/>
      </w:pPr>
      <w:r>
        <w:rPr>
          <w:rFonts w:ascii="仿宋_GB2312" w:hAnsi="仿宋_GB2312" w:cs="仿宋_GB2312" w:eastAsia="仿宋_GB2312"/>
        </w:rPr>
        <w:t>4、税收缴纳证明：提供依法缴纳税收的良好记录，缴费所属日期为投标截止时间前一年内已缴纳任意时段（投标截止时间当月不计入）的增值税（或企业所得税）缴费凭据或纳税的银行转账汇款单、对账单等；判定/在法规范围内不需提供的，应出具书面说明和证明文件。</w:t>
      </w:r>
    </w:p>
    <w:p>
      <w:pPr>
        <w:pStyle w:val="null3"/>
      </w:pPr>
      <w:r>
        <w:rPr>
          <w:rFonts w:ascii="仿宋_GB2312" w:hAnsi="仿宋_GB2312" w:cs="仿宋_GB2312" w:eastAsia="仿宋_GB2312"/>
        </w:rPr>
        <w:t>5、社会保障资金缴纳证明：提供依法缴纳社会保障资金的良好记录，缴费所属日期为投标截止时间前一年内已缴纳任意时段（投标截止时间当月不计入）的根据银行转账汇款单或社保部门出具的缴纳社会保障金的凭证；判定/在法规范围内不需提供的，应出具书面说明和证明文件。</w:t>
      </w:r>
    </w:p>
    <w:p>
      <w:pPr>
        <w:pStyle w:val="null3"/>
      </w:pPr>
      <w:r>
        <w:rPr>
          <w:rFonts w:ascii="仿宋_GB2312" w:hAnsi="仿宋_GB2312" w:cs="仿宋_GB2312" w:eastAsia="仿宋_GB2312"/>
        </w:rPr>
        <w:t>6、没有重大违法记录的书面声明：提供参加政府采购活动前3年内在经营活动中没有重大违法记录的书面声明。</w:t>
      </w:r>
    </w:p>
    <w:p>
      <w:pPr>
        <w:pStyle w:val="null3"/>
      </w:pPr>
      <w:r>
        <w:rPr>
          <w:rFonts w:ascii="仿宋_GB2312" w:hAnsi="仿宋_GB2312" w:cs="仿宋_GB2312" w:eastAsia="仿宋_GB2312"/>
        </w:rPr>
        <w:t>7、信用记录：供应商不得被“信用中国”网站（www.creditchina.gov.cn）列入失信被执行人和重大税收违法案件当事人名单人，不得被“中国政府采购网”（www.ccgp.gov.cn）列入政府采购严重违法失信行为记录名单。</w:t>
      </w:r>
    </w:p>
    <w:p>
      <w:pPr>
        <w:pStyle w:val="null3"/>
      </w:pPr>
      <w:r>
        <w:rPr>
          <w:rFonts w:ascii="仿宋_GB2312" w:hAnsi="仿宋_GB2312" w:cs="仿宋_GB2312" w:eastAsia="仿宋_GB2312"/>
        </w:rPr>
        <w:t>8、履行合同所必需的设备和专业技术能力的书面声明：提供履行合同所必需的设备和专业技术能力的书面声明。</w:t>
      </w:r>
    </w:p>
    <w:p>
      <w:pPr>
        <w:pStyle w:val="null3"/>
      </w:pPr>
      <w:r>
        <w:rPr>
          <w:rFonts w:ascii="仿宋_GB2312" w:hAnsi="仿宋_GB2312" w:cs="仿宋_GB2312" w:eastAsia="仿宋_GB2312"/>
        </w:rPr>
        <w:t>9、与其他投标人不存在单位负责人为同一人，且不存在直接控股、管理关系：与其他投标人不存在单位负责人为同一人，且不存在直接控股、管理关系：若与其他投标人存在单位负责人为同一人或者存在直接控股、管理关系的，则投标无效。</w:t>
      </w:r>
    </w:p>
    <w:p>
      <w:pPr>
        <w:pStyle w:val="null3"/>
      </w:pPr>
      <w:r>
        <w:rPr>
          <w:rFonts w:ascii="仿宋_GB2312" w:hAnsi="仿宋_GB2312" w:cs="仿宋_GB2312" w:eastAsia="仿宋_GB2312"/>
        </w:rPr>
        <w:t>10、本采购包专门面向中小企业采购：本采购包专门面向中小企业采购，参与的投标人全部为符合政策要求的中小企业。（监狱企业、残疾人福利性单位视同小型、微型企业）。</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铜川市耀州区住房和城乡建设局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铜川市耀州区文营西路31号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王鹏林</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18992971971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铜川耀城任禾项目管理有限公司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陕西省铜川市耀州区天宝路街道办事处天宝滩社区锦阳路北段西侧转角楼二层门面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0919-6600459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铜川市耀州区政府采购管理股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郭伟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0919-6602227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采购包1：2,551,148.22元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国家计委关于印发《招标代理服务收费管理暂行办法》的通知（计价格〔2002〕1980号）、《国家发展和改革委员会办公厅关于招标代理服务收费有关问题的通知》（发改办价格〔2003〕857号）规定向中标（成交）供应商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铜川市耀州区住房和城乡建设局</w:t>
      </w:r>
      <w:r>
        <w:rPr>
          <w:rFonts w:ascii="仿宋_GB2312" w:hAnsi="仿宋_GB2312" w:cs="仿宋_GB2312" w:eastAsia="仿宋_GB2312"/>
        </w:rPr>
        <w:t>和</w:t>
      </w:r>
      <w:r>
        <w:rPr>
          <w:rFonts w:ascii="仿宋_GB2312" w:hAnsi="仿宋_GB2312" w:cs="仿宋_GB2312" w:eastAsia="仿宋_GB2312"/>
        </w:rPr>
        <w:t>铜川耀城任禾项目管理有限公司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铜川市耀州区住房和城乡建设局</w:t>
      </w:r>
      <w:r>
        <w:rPr>
          <w:rFonts w:ascii="仿宋_GB2312" w:hAnsi="仿宋_GB2312" w:cs="仿宋_GB2312" w:eastAsia="仿宋_GB2312"/>
        </w:rPr>
        <w:t>负责解释。除上述招标文件内容，其他内容由</w:t>
      </w:r>
      <w:r>
        <w:rPr>
          <w:rFonts w:ascii="仿宋_GB2312" w:hAnsi="仿宋_GB2312" w:cs="仿宋_GB2312" w:eastAsia="仿宋_GB2312"/>
        </w:rPr>
        <w:t>铜川耀城任禾项目管理有限公司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铜川市耀州区住房和城乡建设局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铜川耀城任禾项目管理有限公司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符合现行行业相关标准。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铜川耀城任禾项目管理有限公司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铜川耀城任禾项目管理有限公司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铜川耀城任禾项目管理有限公司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联系人：杨工</w:t>
      </w:r>
    </w:p>
    <w:p>
      <w:pPr>
        <w:pStyle w:val="null3"/>
      </w:pPr>
      <w:r>
        <w:rPr>
          <w:rFonts w:ascii="仿宋_GB2312" w:hAnsi="仿宋_GB2312" w:cs="仿宋_GB2312" w:eastAsia="仿宋_GB2312"/>
        </w:rPr>
        <w:t>联系电话：0919-6600459</w:t>
      </w:r>
    </w:p>
    <w:p>
      <w:pPr>
        <w:pStyle w:val="null3"/>
      </w:pPr>
      <w:r>
        <w:rPr>
          <w:rFonts w:ascii="仿宋_GB2312" w:hAnsi="仿宋_GB2312" w:cs="仿宋_GB2312" w:eastAsia="仿宋_GB2312"/>
        </w:rPr>
        <w:t>地址：陕西省铜川市耀州区华原路与锦阳路交叉口（柳公权中学对面、光明眼镜行隔壁）</w:t>
      </w:r>
    </w:p>
    <w:p>
      <w:pPr>
        <w:pStyle w:val="null3"/>
      </w:pPr>
      <w:r>
        <w:rPr>
          <w:rFonts w:ascii="仿宋_GB2312" w:hAnsi="仿宋_GB2312" w:cs="仿宋_GB2312" w:eastAsia="仿宋_GB2312"/>
        </w:rPr>
        <w:t>邮编：727100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按照全区域覆盖、全方位推进、一体化管理的原则，围绕“最大限度减少生活垃圾总量，加快推进资源循环综合利用”的总体目标，加快推进全区 102 个小区实现生活垃圾四分类，实现“六个有”（即有齐全的设施设备、有成熟的治理技术、有稳定的保洁队伍、有长效的资金保障、有完善的监管制度、有突出的治理实绩）。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2,551,148.22</w:t>
      </w:r>
    </w:p>
    <w:p>
      <w:pPr>
        <w:pStyle w:val="null3"/>
      </w:pPr>
      <w:r>
        <w:rPr>
          <w:rFonts w:ascii="仿宋_GB2312" w:hAnsi="仿宋_GB2312" w:cs="仿宋_GB2312" w:eastAsia="仿宋_GB2312"/>
        </w:rPr>
        <w:t>采购包最高限价（元）: 2,551,148.22</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2551148.22</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2,551,148.22</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标的名称：2551148.22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sz w:val="28"/>
                <w:color w:val="000000"/>
              </w:rPr>
              <w:t>一、项目概况</w:t>
            </w:r>
          </w:p>
          <w:p>
            <w:pPr>
              <w:pStyle w:val="null3"/>
              <w:ind w:firstLine="560"/>
              <w:jc w:val="left"/>
            </w:pPr>
            <w:r>
              <w:rPr>
                <w:rFonts w:ascii="仿宋_GB2312" w:hAnsi="仿宋_GB2312" w:cs="仿宋_GB2312" w:eastAsia="仿宋_GB2312"/>
                <w:sz w:val="28"/>
                <w:color w:val="000000"/>
              </w:rPr>
              <w:t>按照全区域覆盖、全方位推进、一体化管理的原则，围绕</w:t>
            </w:r>
            <w:r>
              <w:rPr>
                <w:rFonts w:ascii="仿宋_GB2312" w:hAnsi="仿宋_GB2312" w:cs="仿宋_GB2312" w:eastAsia="仿宋_GB2312"/>
                <w:sz w:val="28"/>
                <w:color w:val="000000"/>
              </w:rPr>
              <w:t>“最大限度减少生活垃圾总量，加快推进资源循环综合利用”的总体目标，加快推进全区 102 个小区实现生活垃圾四分类，实现“六个有”（即有齐全的设施设备、有成熟的治理技术、有稳定的保洁队伍、有长效的资金保障、有完善的监管制度、有突出的治理实绩）。</w:t>
            </w:r>
          </w:p>
          <w:p>
            <w:pPr>
              <w:pStyle w:val="null3"/>
              <w:jc w:val="left"/>
            </w:pPr>
            <w:r>
              <w:rPr>
                <w:rFonts w:ascii="仿宋_GB2312" w:hAnsi="仿宋_GB2312" w:cs="仿宋_GB2312" w:eastAsia="仿宋_GB2312"/>
                <w:sz w:val="28"/>
                <w:color w:val="000000"/>
              </w:rPr>
              <w:t>二、项目服务期限</w:t>
            </w:r>
          </w:p>
          <w:p>
            <w:pPr>
              <w:pStyle w:val="null3"/>
              <w:ind w:firstLine="560"/>
              <w:jc w:val="left"/>
            </w:pPr>
            <w:r>
              <w:rPr>
                <w:rFonts w:ascii="仿宋_GB2312" w:hAnsi="仿宋_GB2312" w:cs="仿宋_GB2312" w:eastAsia="仿宋_GB2312"/>
                <w:sz w:val="28"/>
                <w:color w:val="000000"/>
              </w:rPr>
              <w:t>服务期限</w:t>
            </w:r>
            <w:r>
              <w:rPr>
                <w:rFonts w:ascii="仿宋_GB2312" w:hAnsi="仿宋_GB2312" w:cs="仿宋_GB2312" w:eastAsia="仿宋_GB2312"/>
                <w:sz w:val="28"/>
                <w:color w:val="000000"/>
              </w:rPr>
              <w:t>：</w:t>
            </w:r>
            <w:r>
              <w:rPr>
                <w:rFonts w:ascii="仿宋_GB2312" w:hAnsi="仿宋_GB2312" w:cs="仿宋_GB2312" w:eastAsia="仿宋_GB2312"/>
                <w:sz w:val="28"/>
                <w:color w:val="000000"/>
              </w:rPr>
              <w:t>3年（合同一年一签）</w:t>
            </w:r>
            <w:r>
              <w:rPr>
                <w:rFonts w:ascii="仿宋_GB2312" w:hAnsi="仿宋_GB2312" w:cs="仿宋_GB2312" w:eastAsia="仿宋_GB2312"/>
                <w:sz w:val="28"/>
                <w:color w:val="000000"/>
              </w:rPr>
              <w:t>。</w:t>
            </w:r>
          </w:p>
          <w:p>
            <w:pPr>
              <w:pStyle w:val="null3"/>
              <w:jc w:val="left"/>
            </w:pPr>
            <w:r>
              <w:rPr>
                <w:rFonts w:ascii="仿宋_GB2312" w:hAnsi="仿宋_GB2312" w:cs="仿宋_GB2312" w:eastAsia="仿宋_GB2312"/>
                <w:sz w:val="28"/>
                <w:color w:val="000000"/>
              </w:rPr>
              <w:t>三、项目内容</w:t>
            </w:r>
          </w:p>
          <w:p>
            <w:pPr>
              <w:pStyle w:val="null3"/>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.1硬件投资建设</w:t>
            </w:r>
          </w:p>
          <w:tbl>
            <w:tblPr>
              <w:tblInd w:type="dxa" w:w="90"/>
              <w:tblBorders>
                <w:top w:val="none" w:color="000000" w:sz="4"/>
                <w:left w:val="none" w:color="000000" w:sz="4"/>
                <w:bottom w:val="none" w:color="000000" w:sz="4"/>
                <w:right w:val="none" w:color="000000" w:sz="4"/>
                <w:insideH w:val="none"/>
                <w:insideV w:val="none"/>
              </w:tblBorders>
            </w:tblPr>
            <w:tblGrid>
              <w:gridCol w:w="690"/>
              <w:gridCol w:w="708"/>
              <w:gridCol w:w="414"/>
              <w:gridCol w:w="358"/>
              <w:gridCol w:w="363"/>
            </w:tblGrid>
            <w:tr>
              <w:tc>
                <w:tcPr>
                  <w:tcW w:type="dxa" w:w="1398"/>
                  <w:gridSpan w:val="2"/>
                  <w:vMerge w:val="restart"/>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项目内容</w:t>
                  </w:r>
                </w:p>
              </w:tc>
              <w:tc>
                <w:tcPr>
                  <w:tcW w:type="dxa" w:w="41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尺寸</w:t>
                  </w:r>
                  <w:r>
                    <w:rPr>
                      <w:rFonts w:ascii="仿宋_GB2312" w:hAnsi="仿宋_GB2312" w:cs="仿宋_GB2312" w:eastAsia="仿宋_GB2312"/>
                      <w:sz w:val="28"/>
                      <w:b/>
                      <w:color w:val="000000"/>
                    </w:rPr>
                    <w:t>(米)</w:t>
                  </w:r>
                </w:p>
              </w:tc>
              <w:tc>
                <w:tcPr>
                  <w:tcW w:type="dxa" w:w="358"/>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数量</w:t>
                  </w:r>
                </w:p>
              </w:tc>
              <w:tc>
                <w:tcPr>
                  <w:tcW w:type="dxa" w:w="363"/>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单位</w:t>
                  </w:r>
                </w:p>
              </w:tc>
            </w:tr>
            <w:tr>
              <w:tc>
                <w:tcPr>
                  <w:tcW w:type="dxa" w:w="1398"/>
                  <w:gridSpan w:val="2"/>
                  <w:vMerge/>
                  <w:tcBorders>
                    <w:top w:val="single" w:color="000000" w:sz="4"/>
                    <w:left w:val="single" w:color="000000" w:sz="4"/>
                    <w:bottom w:val="single" w:color="000000" w:sz="4"/>
                    <w:right w:val="single" w:color="000000" w:sz="4"/>
                  </w:tcBorders>
                </w:tcPr>
                <w:p/>
              </w:tc>
              <w:tc>
                <w:tcPr>
                  <w:tcW w:type="dxa" w:w="414"/>
                  <w:vMerge/>
                  <w:tcBorders>
                    <w:top w:val="single" w:color="000000" w:sz="4"/>
                    <w:left w:val="none" w:color="000000" w:sz="4"/>
                    <w:bottom w:val="single" w:color="000000" w:sz="4"/>
                    <w:right w:val="single" w:color="000000" w:sz="4"/>
                  </w:tcBorders>
                </w:tcPr>
                <w:p/>
              </w:tc>
            </w:tr>
            <w:tr>
              <w:tc>
                <w:tcPr>
                  <w:tcW w:type="dxa" w:w="6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1.垃圾收集房</w:t>
                  </w: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(1)收集房主体</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4*3*3</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座</w:t>
                  </w:r>
                </w:p>
              </w:tc>
            </w:tr>
            <w:tr>
              <w:tc>
                <w:tcPr>
                  <w:tcW w:type="dxa" w:w="690"/>
                  <w:vMerge/>
                  <w:tcBorders>
                    <w:top w:val="none" w:color="000000" w:sz="4"/>
                    <w:left w:val="single" w:color="000000" w:sz="4"/>
                    <w:bottom w:val="single" w:color="000000" w:sz="4"/>
                    <w:right w:val="single" w:color="000000" w:sz="4"/>
                  </w:tcBorders>
                </w:tcPr>
                <w:p/>
              </w:tc>
              <w:tc>
                <w:tcPr>
                  <w:tcW w:type="dxa" w:w="1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(2)基础及地面硬化</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690"/>
                  <w:vMerge/>
                  <w:tcBorders>
                    <w:top w:val="none" w:color="000000" w:sz="4"/>
                    <w:left w:val="single" w:color="000000" w:sz="4"/>
                    <w:bottom w:val="single" w:color="000000" w:sz="4"/>
                    <w:right w:val="single" w:color="000000" w:sz="4"/>
                  </w:tcBorders>
                </w:tcPr>
                <w:p/>
              </w:tc>
              <w:tc>
                <w:tcPr>
                  <w:tcW w:type="dxa" w:w="1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(3)引线路</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r>
            <w:tr>
              <w:tc>
                <w:tcPr>
                  <w:tcW w:type="dxa" w:w="690"/>
                  <w:vMerge/>
                  <w:tcBorders>
                    <w:top w:val="none" w:color="000000" w:sz="4"/>
                    <w:left w:val="single" w:color="000000" w:sz="4"/>
                    <w:bottom w:val="single" w:color="000000" w:sz="4"/>
                    <w:right w:val="single" w:color="000000" w:sz="4"/>
                  </w:tcBorders>
                </w:tcPr>
                <w:p/>
              </w:tc>
              <w:tc>
                <w:tcPr>
                  <w:tcW w:type="dxa" w:w="112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(4)分类垃圾桶</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69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2.垃圾收集亭</w:t>
                  </w:r>
                </w:p>
              </w:tc>
              <w:tc>
                <w:tcPr>
                  <w:tcW w:type="dxa" w:w="70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(1)收集亭主体</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6*1.2*2.4</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30</w:t>
                  </w:r>
                </w:p>
              </w:tc>
              <w:tc>
                <w:tcPr>
                  <w:tcW w:type="dxa" w:w="36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座</w:t>
                  </w:r>
                </w:p>
              </w:tc>
            </w:tr>
            <w:tr>
              <w:tc>
                <w:tcPr>
                  <w:tcW w:type="dxa" w:w="690"/>
                  <w:vMerge/>
                  <w:tcBorders>
                    <w:top w:val="none" w:color="000000" w:sz="4"/>
                    <w:left w:val="single" w:color="000000" w:sz="4"/>
                    <w:bottom w:val="single" w:color="000000" w:sz="4"/>
                    <w:right w:val="single" w:color="000000" w:sz="4"/>
                  </w:tcBorders>
                </w:tcPr>
                <w:p/>
              </w:tc>
              <w:tc>
                <w:tcPr>
                  <w:tcW w:type="dxa" w:w="708"/>
                  <w:vMerge/>
                  <w:tcBorders>
                    <w:top w:val="none" w:color="000000" w:sz="4"/>
                    <w:left w:val="none" w:color="000000" w:sz="4"/>
                    <w:bottom w:val="single" w:color="000000" w:sz="4"/>
                    <w:right w:val="single" w:color="000000" w:sz="4"/>
                  </w:tcBorders>
                </w:tcP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4*1.2*2.4</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50</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座</w:t>
                  </w:r>
                </w:p>
              </w:tc>
            </w:tr>
            <w:tr>
              <w:tc>
                <w:tcPr>
                  <w:tcW w:type="dxa" w:w="690"/>
                  <w:vMerge/>
                  <w:tcBorders>
                    <w:top w:val="none" w:color="000000" w:sz="4"/>
                    <w:left w:val="single" w:color="000000" w:sz="4"/>
                    <w:bottom w:val="single" w:color="000000" w:sz="4"/>
                    <w:right w:val="single" w:color="000000" w:sz="4"/>
                  </w:tcBorders>
                </w:tcP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(2)基础及地面硬化</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80</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690"/>
                  <w:vMerge/>
                  <w:tcBorders>
                    <w:top w:val="none" w:color="000000" w:sz="4"/>
                    <w:left w:val="single" w:color="000000" w:sz="4"/>
                    <w:bottom w:val="single" w:color="000000" w:sz="4"/>
                    <w:right w:val="single" w:color="000000" w:sz="4"/>
                  </w:tcBorders>
                </w:tcPr>
                <w:p/>
              </w:tc>
              <w:tc>
                <w:tcPr>
                  <w:tcW w:type="dxa" w:w="7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(3)引线路</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80</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r>
            <w:tr>
              <w:tc>
                <w:tcPr>
                  <w:tcW w:type="dxa" w:w="690"/>
                  <w:vMerge/>
                  <w:tcBorders>
                    <w:top w:val="none" w:color="000000" w:sz="4"/>
                    <w:left w:val="single" w:color="000000" w:sz="4"/>
                    <w:bottom w:val="single" w:color="000000" w:sz="4"/>
                    <w:right w:val="single" w:color="000000" w:sz="4"/>
                  </w:tcBorders>
                </w:tcPr>
                <w:p/>
              </w:tc>
              <w:tc>
                <w:tcPr>
                  <w:tcW w:type="dxa" w:w="708"/>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(4)分类垃圾桶</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6*1.2*2.4</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6</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690"/>
                  <w:vMerge/>
                  <w:tcBorders>
                    <w:top w:val="none" w:color="000000" w:sz="4"/>
                    <w:left w:val="single" w:color="000000" w:sz="4"/>
                    <w:bottom w:val="single" w:color="000000" w:sz="4"/>
                    <w:right w:val="single" w:color="000000" w:sz="4"/>
                  </w:tcBorders>
                </w:tcPr>
                <w:p/>
              </w:tc>
              <w:tc>
                <w:tcPr>
                  <w:tcW w:type="dxa" w:w="708"/>
                  <w:vMerge/>
                  <w:tcBorders>
                    <w:top w:val="none" w:color="000000" w:sz="4"/>
                    <w:left w:val="none" w:color="000000" w:sz="4"/>
                    <w:bottom w:val="single" w:color="000000" w:sz="4"/>
                    <w:right w:val="single" w:color="000000" w:sz="4"/>
                  </w:tcBorders>
                </w:tcP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4*1.2*2.4</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8</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3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3.更新主次干道垃圾桶</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260</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r>
            <w:tr>
              <w:tc>
                <w:tcPr>
                  <w:tcW w:type="dxa" w:w="1398"/>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4.更新垃圾压缩设备</w:t>
                  </w:r>
                </w:p>
              </w:tc>
              <w:tc>
                <w:tcPr>
                  <w:tcW w:type="dxa" w:w="4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20吨/日</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3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r>
          </w:tbl>
          <w:p>
            <w:pPr>
              <w:pStyle w:val="null3"/>
              <w:ind w:firstLine="560"/>
              <w:jc w:val="left"/>
            </w:pPr>
            <w:r>
              <w:rPr>
                <w:rFonts w:ascii="仿宋_GB2312" w:hAnsi="仿宋_GB2312" w:cs="仿宋_GB2312" w:eastAsia="仿宋_GB2312"/>
                <w:sz w:val="28"/>
                <w:color w:val="000000"/>
              </w:rPr>
              <w:t>在进行硬件投资建设时，所有设备和设施</w:t>
            </w:r>
            <w:r>
              <w:rPr>
                <w:rFonts w:ascii="仿宋_GB2312" w:hAnsi="仿宋_GB2312" w:cs="仿宋_GB2312" w:eastAsia="仿宋_GB2312"/>
                <w:sz w:val="28"/>
                <w:color w:val="000000"/>
              </w:rPr>
              <w:t>，结合项目现场情况合理布置</w:t>
            </w:r>
            <w:r>
              <w:rPr>
                <w:rFonts w:ascii="仿宋_GB2312" w:hAnsi="仿宋_GB2312" w:cs="仿宋_GB2312" w:eastAsia="仿宋_GB2312"/>
                <w:sz w:val="28"/>
                <w:color w:val="000000"/>
              </w:rPr>
              <w:t>、实施和维护。</w:t>
            </w:r>
            <w:r>
              <w:rPr>
                <w:rFonts w:ascii="仿宋_GB2312" w:hAnsi="仿宋_GB2312" w:cs="仿宋_GB2312" w:eastAsia="仿宋_GB2312"/>
                <w:sz w:val="28"/>
                <w:color w:val="000000"/>
              </w:rPr>
              <w:t>硬件</w:t>
            </w:r>
            <w:r>
              <w:rPr>
                <w:rFonts w:ascii="仿宋_GB2312" w:hAnsi="仿宋_GB2312" w:cs="仿宋_GB2312" w:eastAsia="仿宋_GB2312"/>
                <w:sz w:val="28"/>
                <w:color w:val="000000"/>
              </w:rPr>
              <w:t>建设</w:t>
            </w:r>
            <w:r>
              <w:rPr>
                <w:rFonts w:ascii="仿宋_GB2312" w:hAnsi="仿宋_GB2312" w:cs="仿宋_GB2312" w:eastAsia="仿宋_GB2312"/>
                <w:sz w:val="28"/>
                <w:color w:val="000000"/>
              </w:rPr>
              <w:t>实施单位</w:t>
            </w:r>
            <w:r>
              <w:rPr>
                <w:rFonts w:ascii="仿宋_GB2312" w:hAnsi="仿宋_GB2312" w:cs="仿宋_GB2312" w:eastAsia="仿宋_GB2312"/>
                <w:sz w:val="28"/>
                <w:color w:val="000000"/>
              </w:rPr>
              <w:t>具有完成本硬件建设的人员、技术、施工、安装等相关能力</w:t>
            </w:r>
            <w:r>
              <w:rPr>
                <w:rFonts w:ascii="仿宋_GB2312" w:hAnsi="仿宋_GB2312" w:cs="仿宋_GB2312" w:eastAsia="仿宋_GB2312"/>
                <w:sz w:val="28"/>
                <w:color w:val="000000"/>
              </w:rPr>
              <w:t>及施工资质，</w:t>
            </w:r>
            <w:r>
              <w:rPr>
                <w:rFonts w:ascii="仿宋_GB2312" w:hAnsi="仿宋_GB2312" w:cs="仿宋_GB2312" w:eastAsia="仿宋_GB2312"/>
                <w:sz w:val="28"/>
                <w:color w:val="000000"/>
              </w:rPr>
              <w:t>确保</w:t>
            </w:r>
            <w:r>
              <w:rPr>
                <w:rFonts w:ascii="仿宋_GB2312" w:hAnsi="仿宋_GB2312" w:cs="仿宋_GB2312" w:eastAsia="仿宋_GB2312"/>
                <w:sz w:val="28"/>
                <w:color w:val="000000"/>
              </w:rPr>
              <w:t>硬件建设期间的</w:t>
            </w:r>
            <w:r>
              <w:rPr>
                <w:rFonts w:ascii="仿宋_GB2312" w:hAnsi="仿宋_GB2312" w:cs="仿宋_GB2312" w:eastAsia="仿宋_GB2312"/>
                <w:sz w:val="28"/>
                <w:color w:val="000000"/>
              </w:rPr>
              <w:t>安全和质量</w:t>
            </w:r>
            <w:r>
              <w:rPr>
                <w:rFonts w:ascii="仿宋_GB2312" w:hAnsi="仿宋_GB2312" w:cs="仿宋_GB2312" w:eastAsia="仿宋_GB2312"/>
                <w:sz w:val="28"/>
                <w:color w:val="000000"/>
              </w:rPr>
              <w:t>。</w:t>
            </w:r>
          </w:p>
          <w:p>
            <w:pPr>
              <w:pStyle w:val="null3"/>
              <w:ind w:firstLine="560"/>
              <w:jc w:val="left"/>
            </w:pPr>
            <w:r>
              <w:rPr>
                <w:rFonts w:ascii="仿宋_GB2312" w:hAnsi="仿宋_GB2312" w:cs="仿宋_GB2312" w:eastAsia="仿宋_GB2312"/>
                <w:sz w:val="28"/>
                <w:color w:val="000000"/>
              </w:rPr>
              <w:t>硬件建设</w:t>
            </w:r>
            <w:r>
              <w:rPr>
                <w:rFonts w:ascii="仿宋_GB2312" w:hAnsi="仿宋_GB2312" w:cs="仿宋_GB2312" w:eastAsia="仿宋_GB2312"/>
                <w:sz w:val="28"/>
                <w:color w:val="000000"/>
              </w:rPr>
              <w:t>期：</w:t>
            </w:r>
            <w:r>
              <w:rPr>
                <w:rFonts w:ascii="仿宋_GB2312" w:hAnsi="仿宋_GB2312" w:cs="仿宋_GB2312" w:eastAsia="仿宋_GB2312"/>
                <w:sz w:val="28"/>
                <w:color w:val="000000"/>
              </w:rPr>
              <w:t>2个月内完成。</w:t>
            </w:r>
          </w:p>
          <w:p>
            <w:pPr>
              <w:pStyle w:val="null3"/>
              <w:ind w:firstLine="560"/>
              <w:jc w:val="left"/>
            </w:pPr>
            <w:r>
              <w:rPr>
                <w:rFonts w:ascii="仿宋_GB2312" w:hAnsi="仿宋_GB2312" w:cs="仿宋_GB2312" w:eastAsia="仿宋_GB2312"/>
                <w:sz w:val="28"/>
                <w:color w:val="000000"/>
              </w:rPr>
              <w:t>项目硬件设施建设</w:t>
            </w:r>
            <w:r>
              <w:rPr>
                <w:rFonts w:ascii="仿宋_GB2312" w:hAnsi="仿宋_GB2312" w:cs="仿宋_GB2312" w:eastAsia="仿宋_GB2312"/>
                <w:sz w:val="28"/>
                <w:color w:val="000000"/>
              </w:rPr>
              <w:t>完工</w:t>
            </w:r>
            <w:r>
              <w:rPr>
                <w:rFonts w:ascii="仿宋_GB2312" w:hAnsi="仿宋_GB2312" w:cs="仿宋_GB2312" w:eastAsia="仿宋_GB2312"/>
                <w:sz w:val="28"/>
                <w:color w:val="000000"/>
              </w:rPr>
              <w:t>后，中标单位应向招标人正式提请</w:t>
            </w:r>
            <w:r>
              <w:rPr>
                <w:rFonts w:ascii="仿宋_GB2312" w:hAnsi="仿宋_GB2312" w:cs="仿宋_GB2312" w:eastAsia="仿宋_GB2312"/>
                <w:sz w:val="28"/>
                <w:color w:val="000000"/>
              </w:rPr>
              <w:t>完工</w:t>
            </w:r>
            <w:r>
              <w:rPr>
                <w:rFonts w:ascii="仿宋_GB2312" w:hAnsi="仿宋_GB2312" w:cs="仿宋_GB2312" w:eastAsia="仿宋_GB2312"/>
                <w:sz w:val="28"/>
                <w:color w:val="000000"/>
              </w:rPr>
              <w:t>验收，由招标人组织</w:t>
            </w:r>
            <w:r>
              <w:rPr>
                <w:rFonts w:ascii="仿宋_GB2312" w:hAnsi="仿宋_GB2312" w:cs="仿宋_GB2312" w:eastAsia="仿宋_GB2312"/>
                <w:sz w:val="28"/>
                <w:color w:val="000000"/>
              </w:rPr>
              <w:t>（</w:t>
            </w:r>
            <w:r>
              <w:rPr>
                <w:rFonts w:ascii="仿宋_GB2312" w:hAnsi="仿宋_GB2312" w:cs="仿宋_GB2312" w:eastAsia="仿宋_GB2312"/>
                <w:sz w:val="28"/>
                <w:color w:val="000000"/>
              </w:rPr>
              <w:t>或委托具备法定资质的第三方检测机构</w:t>
            </w:r>
            <w:r>
              <w:rPr>
                <w:rFonts w:ascii="仿宋_GB2312" w:hAnsi="仿宋_GB2312" w:cs="仿宋_GB2312" w:eastAsia="仿宋_GB2312"/>
                <w:sz w:val="28"/>
                <w:color w:val="000000"/>
              </w:rPr>
              <w:t>）</w:t>
            </w:r>
            <w:r>
              <w:rPr>
                <w:rFonts w:ascii="仿宋_GB2312" w:hAnsi="仿宋_GB2312" w:cs="仿宋_GB2312" w:eastAsia="仿宋_GB2312"/>
                <w:sz w:val="28"/>
                <w:color w:val="000000"/>
              </w:rPr>
              <w:t>，依据生活垃圾分类收集设施建设</w:t>
            </w:r>
            <w:r>
              <w:rPr>
                <w:rFonts w:ascii="仿宋_GB2312" w:hAnsi="仿宋_GB2312" w:cs="仿宋_GB2312" w:eastAsia="仿宋_GB2312"/>
                <w:sz w:val="28"/>
                <w:color w:val="000000"/>
              </w:rPr>
              <w:t>、</w:t>
            </w:r>
            <w:r>
              <w:rPr>
                <w:rFonts w:ascii="仿宋_GB2312" w:hAnsi="仿宋_GB2312" w:cs="仿宋_GB2312" w:eastAsia="仿宋_GB2312"/>
                <w:sz w:val="28"/>
                <w:color w:val="000000"/>
              </w:rPr>
              <w:t>现行行业</w:t>
            </w:r>
            <w:r>
              <w:rPr>
                <w:rFonts w:ascii="仿宋_GB2312" w:hAnsi="仿宋_GB2312" w:cs="仿宋_GB2312" w:eastAsia="仿宋_GB2312"/>
                <w:sz w:val="28"/>
                <w:color w:val="000000"/>
              </w:rPr>
              <w:t>相关</w:t>
            </w:r>
            <w:r>
              <w:rPr>
                <w:rFonts w:ascii="仿宋_GB2312" w:hAnsi="仿宋_GB2312" w:cs="仿宋_GB2312" w:eastAsia="仿宋_GB2312"/>
                <w:sz w:val="28"/>
                <w:color w:val="000000"/>
              </w:rPr>
              <w:t>技术规范，对工程实体质量、技术参数及环保指标进行综合核验。经核验符合质量标准并取得验收合格文件后，方可进入正式运营阶段。</w:t>
            </w:r>
          </w:p>
          <w:p>
            <w:pPr>
              <w:pStyle w:val="null3"/>
              <w:ind w:firstLine="560"/>
              <w:jc w:val="left"/>
            </w:pPr>
            <w:r>
              <w:rPr>
                <w:rFonts w:ascii="仿宋_GB2312" w:hAnsi="仿宋_GB2312" w:cs="仿宋_GB2312" w:eastAsia="仿宋_GB2312"/>
                <w:sz w:val="28"/>
                <w:color w:val="000000"/>
              </w:rPr>
              <w:t>收集房主体及收集亭主体：确保符合行业规定和项目需求，包括尺寸、材料和耐用性。</w:t>
            </w:r>
          </w:p>
          <w:p>
            <w:pPr>
              <w:pStyle w:val="null3"/>
              <w:ind w:firstLine="560"/>
              <w:jc w:val="left"/>
            </w:pPr>
            <w:r>
              <w:rPr>
                <w:rFonts w:ascii="仿宋_GB2312" w:hAnsi="仿宋_GB2312" w:cs="仿宋_GB2312" w:eastAsia="仿宋_GB2312"/>
                <w:sz w:val="28"/>
                <w:color w:val="000000"/>
              </w:rPr>
              <w:t>基础及地面硬化：确保地面承重和耐用。</w:t>
            </w:r>
          </w:p>
          <w:p>
            <w:pPr>
              <w:pStyle w:val="null3"/>
              <w:ind w:firstLine="560"/>
              <w:jc w:val="left"/>
            </w:pPr>
            <w:r>
              <w:rPr>
                <w:rFonts w:ascii="仿宋_GB2312" w:hAnsi="仿宋_GB2312" w:cs="仿宋_GB2312" w:eastAsia="仿宋_GB2312"/>
                <w:sz w:val="28"/>
                <w:color w:val="000000"/>
              </w:rPr>
              <w:t>引线路：结合项目现场实际情况，合理布置，符合行业相关规范。</w:t>
            </w:r>
          </w:p>
          <w:p>
            <w:pPr>
              <w:pStyle w:val="null3"/>
              <w:ind w:firstLine="560"/>
              <w:jc w:val="left"/>
            </w:pPr>
            <w:r>
              <w:rPr>
                <w:rFonts w:ascii="仿宋_GB2312" w:hAnsi="仿宋_GB2312" w:cs="仿宋_GB2312" w:eastAsia="仿宋_GB2312"/>
                <w:sz w:val="28"/>
                <w:color w:val="000000"/>
              </w:rPr>
              <w:t>垃圾桶：具有耐热耐寒性、耐酸碱性、耐腐蚀性和耐候性，化学稳定性好，刚性和韧性高，机械强度好，耐老化，使用寿命长。</w:t>
            </w:r>
          </w:p>
          <w:p>
            <w:pPr>
              <w:pStyle w:val="null3"/>
              <w:ind w:firstLine="560"/>
              <w:jc w:val="left"/>
            </w:pPr>
            <w:r>
              <w:rPr>
                <w:rFonts w:ascii="仿宋_GB2312" w:hAnsi="仿宋_GB2312" w:cs="仿宋_GB2312" w:eastAsia="仿宋_GB2312"/>
                <w:sz w:val="28"/>
                <w:color w:val="000000"/>
              </w:rPr>
              <w:t>更新垃圾压缩设备，安装期间做好安全和确保质量的相关措施。对设备操作人员进行培训，确保他们能够正确使用和维护设备。</w:t>
            </w:r>
          </w:p>
          <w:p>
            <w:pPr>
              <w:pStyle w:val="null3"/>
              <w:jc w:val="both"/>
            </w:pPr>
            <w:r>
              <w:rPr>
                <w:rFonts w:ascii="仿宋_GB2312" w:hAnsi="仿宋_GB2312" w:cs="仿宋_GB2312" w:eastAsia="仿宋_GB2312"/>
                <w:sz w:val="28"/>
                <w:color w:val="000000"/>
              </w:rPr>
              <w:t>3</w:t>
            </w:r>
            <w:r>
              <w:rPr>
                <w:rFonts w:ascii="仿宋_GB2312" w:hAnsi="仿宋_GB2312" w:cs="仿宋_GB2312" w:eastAsia="仿宋_GB2312"/>
                <w:sz w:val="28"/>
                <w:color w:val="000000"/>
              </w:rPr>
              <w:t>.2四类垃圾收集处理</w:t>
            </w:r>
          </w:p>
          <w:tbl>
            <w:tblPr>
              <w:tblInd w:type="dxa" w:w="90"/>
              <w:tblBorders>
                <w:top w:val="none" w:color="000000" w:sz="4"/>
                <w:left w:val="none" w:color="000000" w:sz="4"/>
                <w:bottom w:val="none" w:color="000000" w:sz="4"/>
                <w:right w:val="none" w:color="000000" w:sz="4"/>
                <w:insideH w:val="none"/>
                <w:insideV w:val="none"/>
              </w:tblBorders>
            </w:tblPr>
            <w:tblGrid>
              <w:gridCol w:w="569"/>
              <w:gridCol w:w="1000"/>
              <w:gridCol w:w="555"/>
              <w:gridCol w:w="422"/>
            </w:tblGrid>
            <w:tr>
              <w:tc>
                <w:tcPr>
                  <w:tcW w:type="dxa" w:w="1569"/>
                  <w:gridSpan w:val="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项目内容</w:t>
                  </w:r>
                </w:p>
              </w:tc>
              <w:tc>
                <w:tcPr>
                  <w:tcW w:type="dxa" w:w="5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数量</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b/>
                      <w:color w:val="000000"/>
                    </w:rPr>
                    <w:t>单位</w:t>
                  </w:r>
                </w:p>
              </w:tc>
            </w:tr>
            <w:tr>
              <w:tc>
                <w:tcPr>
                  <w:tcW w:type="dxa" w:w="5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1.可回收物</w:t>
                  </w:r>
                </w:p>
              </w:tc>
              <w:tc>
                <w:tcPr>
                  <w:tcW w:type="dxa" w:w="1000"/>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(1)织物类</w:t>
                  </w:r>
                </w:p>
              </w:tc>
              <w:tc>
                <w:tcPr>
                  <w:tcW w:type="dxa" w:w="555"/>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422"/>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吨</w:t>
                  </w:r>
                  <w:r>
                    <w:rPr>
                      <w:rFonts w:ascii="仿宋_GB2312" w:hAnsi="仿宋_GB2312" w:cs="仿宋_GB2312" w:eastAsia="仿宋_GB2312"/>
                      <w:sz w:val="28"/>
                      <w:color w:val="000000"/>
                    </w:rPr>
                    <w:t>（</w:t>
                  </w:r>
                  <w:r>
                    <w:rPr>
                      <w:rFonts w:ascii="仿宋_GB2312" w:hAnsi="仿宋_GB2312" w:cs="仿宋_GB2312" w:eastAsia="仿宋_GB2312"/>
                      <w:sz w:val="28"/>
                      <w:b/>
                      <w:color w:val="000000"/>
                    </w:rPr>
                    <w:t>日均产生量</w:t>
                  </w:r>
                  <w:r>
                    <w:rPr>
                      <w:rFonts w:ascii="仿宋_GB2312" w:hAnsi="仿宋_GB2312" w:cs="仿宋_GB2312" w:eastAsia="仿宋_GB2312"/>
                      <w:sz w:val="28"/>
                      <w:color w:val="000000"/>
                    </w:rPr>
                    <w:t>）</w:t>
                  </w:r>
                </w:p>
              </w:tc>
            </w:tr>
            <w:tr>
              <w:tc>
                <w:tcPr>
                  <w:tcW w:type="dxa" w:w="569"/>
                  <w:vMerge/>
                  <w:tcBorders>
                    <w:top w:val="none" w:color="000000" w:sz="4"/>
                    <w:left w:val="single" w:color="000000" w:sz="4"/>
                    <w:bottom w:val="single" w:color="000000" w:sz="4"/>
                    <w:right w:val="single" w:color="000000" w:sz="4"/>
                  </w:tcBorders>
                </w:tcPr>
                <w:p/>
              </w:tc>
              <w:tc>
                <w:tcPr>
                  <w:tcW w:type="dxa" w:w="1000"/>
                  <w:vMerge/>
                  <w:tcBorders>
                    <w:top w:val="none" w:color="000000" w:sz="4"/>
                    <w:left w:val="none" w:color="000000" w:sz="4"/>
                    <w:bottom w:val="single" w:color="000000" w:sz="4"/>
                    <w:right w:val="single" w:color="000000" w:sz="4"/>
                  </w:tcBorders>
                </w:tcPr>
                <w:p/>
              </w:tc>
              <w:tc>
                <w:tcPr>
                  <w:tcW w:type="dxa" w:w="555"/>
                  <w:vMerge/>
                  <w:tcBorders>
                    <w:top w:val="none" w:color="000000" w:sz="4"/>
                    <w:left w:val="none" w:color="000000" w:sz="4"/>
                    <w:bottom w:val="single" w:color="000000" w:sz="4"/>
                    <w:right w:val="single" w:color="000000" w:sz="4"/>
                  </w:tcBorders>
                </w:tcPr>
                <w:p/>
              </w:tc>
              <w:tc>
                <w:tcPr>
                  <w:tcW w:type="dxa" w:w="422"/>
                  <w:vMerge/>
                  <w:tcBorders>
                    <w:top w:val="single" w:color="000000" w:sz="4"/>
                    <w:left w:val="none" w:color="000000" w:sz="4"/>
                    <w:bottom w:val="single" w:color="000000" w:sz="4"/>
                    <w:right w:val="single" w:color="000000" w:sz="4"/>
                  </w:tcBorders>
                </w:tcPr>
                <w:p/>
              </w:tc>
            </w:tr>
            <w:tr>
              <w:tc>
                <w:tcPr>
                  <w:tcW w:type="dxa" w:w="569"/>
                  <w:vMerge/>
                  <w:tcBorders>
                    <w:top w:val="none" w:color="000000" w:sz="4"/>
                    <w:left w:val="single" w:color="000000" w:sz="4"/>
                    <w:bottom w:val="single" w:color="000000" w:sz="4"/>
                    <w:right w:val="single" w:color="000000" w:sz="4"/>
                  </w:tcBorders>
                </w:tcP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(2)纸类</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0.75</w:t>
                  </w:r>
                </w:p>
              </w:tc>
              <w:tc>
                <w:tcPr>
                  <w:tcW w:type="dxa" w:w="422"/>
                  <w:vMerge/>
                  <w:tcBorders>
                    <w:top w:val="single" w:color="000000" w:sz="4"/>
                    <w:left w:val="none" w:color="000000" w:sz="4"/>
                    <w:bottom w:val="single" w:color="000000" w:sz="4"/>
                    <w:right w:val="single" w:color="000000" w:sz="4"/>
                  </w:tcBorders>
                </w:tcPr>
                <w:p/>
              </w:tc>
            </w:tr>
            <w:tr>
              <w:tc>
                <w:tcPr>
                  <w:tcW w:type="dxa" w:w="569"/>
                  <w:vMerge/>
                  <w:tcBorders>
                    <w:top w:val="none" w:color="000000" w:sz="4"/>
                    <w:left w:val="single" w:color="000000" w:sz="4"/>
                    <w:bottom w:val="single" w:color="000000" w:sz="4"/>
                    <w:right w:val="single" w:color="000000" w:sz="4"/>
                  </w:tcBorders>
                </w:tcP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(3)塑料类</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0.75</w:t>
                  </w:r>
                </w:p>
              </w:tc>
              <w:tc>
                <w:tcPr>
                  <w:tcW w:type="dxa" w:w="422"/>
                  <w:vMerge/>
                  <w:tcBorders>
                    <w:top w:val="single" w:color="000000" w:sz="4"/>
                    <w:left w:val="none" w:color="000000" w:sz="4"/>
                    <w:bottom w:val="single" w:color="000000" w:sz="4"/>
                    <w:right w:val="single" w:color="000000" w:sz="4"/>
                  </w:tcBorders>
                </w:tcPr>
                <w:p/>
              </w:tc>
            </w:tr>
            <w:tr>
              <w:tc>
                <w:tcPr>
                  <w:tcW w:type="dxa" w:w="569"/>
                  <w:vMerge/>
                  <w:tcBorders>
                    <w:top w:val="none" w:color="000000" w:sz="4"/>
                    <w:left w:val="single" w:color="000000" w:sz="4"/>
                    <w:bottom w:val="single" w:color="000000" w:sz="4"/>
                    <w:right w:val="single" w:color="000000" w:sz="4"/>
                  </w:tcBorders>
                </w:tcP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(4)玻璃类</w:t>
                  </w:r>
                </w:p>
              </w:tc>
              <w:tc>
                <w:tcPr>
                  <w:tcW w:type="dxa" w:w="555"/>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0.5</w:t>
                  </w:r>
                </w:p>
              </w:tc>
              <w:tc>
                <w:tcPr>
                  <w:tcW w:type="dxa" w:w="422"/>
                  <w:vMerge/>
                  <w:tcBorders>
                    <w:top w:val="single" w:color="000000" w:sz="4"/>
                    <w:left w:val="none" w:color="000000" w:sz="4"/>
                    <w:bottom w:val="single" w:color="000000" w:sz="4"/>
                    <w:right w:val="single" w:color="000000" w:sz="4"/>
                  </w:tcBorders>
                </w:tcPr>
                <w:p/>
              </w:tc>
            </w:tr>
            <w:tr>
              <w:tc>
                <w:tcPr>
                  <w:tcW w:type="dxa" w:w="15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2.厨余垃圾</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422"/>
                  <w:vMerge/>
                  <w:tcBorders>
                    <w:top w:val="single" w:color="000000" w:sz="4"/>
                    <w:left w:val="none" w:color="000000" w:sz="4"/>
                    <w:bottom w:val="single" w:color="000000" w:sz="4"/>
                    <w:right w:val="single" w:color="000000" w:sz="4"/>
                  </w:tcBorders>
                </w:tcPr>
                <w:p/>
              </w:tc>
            </w:tr>
            <w:tr>
              <w:tc>
                <w:tcPr>
                  <w:tcW w:type="dxa" w:w="1569"/>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3.有害垃圾</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0.3</w:t>
                  </w:r>
                </w:p>
              </w:tc>
              <w:tc>
                <w:tcPr>
                  <w:tcW w:type="dxa" w:w="422"/>
                  <w:vMerge/>
                  <w:tcBorders>
                    <w:top w:val="single" w:color="000000" w:sz="4"/>
                    <w:left w:val="none" w:color="000000" w:sz="4"/>
                    <w:bottom w:val="single" w:color="000000" w:sz="4"/>
                    <w:right w:val="single" w:color="000000" w:sz="4"/>
                  </w:tcBorders>
                </w:tcPr>
                <w:p/>
              </w:tc>
            </w:tr>
            <w:tr>
              <w:tc>
                <w:tcPr>
                  <w:tcW w:type="dxa" w:w="56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4.其他垃圾清运</w:t>
                  </w: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车辆投入</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42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辆</w:t>
                  </w:r>
                </w:p>
              </w:tc>
            </w:tr>
            <w:tr>
              <w:tc>
                <w:tcPr>
                  <w:tcW w:type="dxa" w:w="569"/>
                  <w:vMerge/>
                  <w:tcBorders>
                    <w:top w:val="none" w:color="000000" w:sz="4"/>
                    <w:left w:val="single" w:color="000000" w:sz="4"/>
                    <w:bottom w:val="single" w:color="000000" w:sz="4"/>
                    <w:right w:val="single" w:color="000000" w:sz="4"/>
                  </w:tcBorders>
                </w:tcP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劳保投入</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9</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人</w:t>
                  </w:r>
                </w:p>
              </w:tc>
            </w:tr>
            <w:tr>
              <w:tc>
                <w:tcPr>
                  <w:tcW w:type="dxa" w:w="569"/>
                  <w:vMerge/>
                  <w:tcBorders>
                    <w:top w:val="none" w:color="000000" w:sz="4"/>
                    <w:left w:val="single" w:color="000000" w:sz="4"/>
                    <w:bottom w:val="single" w:color="000000" w:sz="4"/>
                    <w:right w:val="single" w:color="000000" w:sz="4"/>
                  </w:tcBorders>
                </w:tcPr>
                <w:p/>
              </w:tc>
              <w:tc>
                <w:tcPr>
                  <w:tcW w:type="dxa" w:w="10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8"/>
                      <w:color w:val="000000"/>
                    </w:rPr>
                    <w:t>社保投入</w:t>
                  </w:r>
                </w:p>
              </w:tc>
              <w:tc>
                <w:tcPr>
                  <w:tcW w:type="dxa" w:w="5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9</w:t>
                  </w:r>
                </w:p>
              </w:tc>
              <w:tc>
                <w:tcPr>
                  <w:tcW w:type="dxa" w:w="42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人</w:t>
                  </w:r>
                </w:p>
              </w:tc>
            </w:tr>
          </w:tbl>
          <w:p>
            <w:pPr>
              <w:pStyle w:val="null3"/>
              <w:ind w:firstLine="560"/>
              <w:jc w:val="left"/>
            </w:pPr>
            <w:r>
              <w:rPr>
                <w:rFonts w:ascii="仿宋_GB2312" w:hAnsi="仿宋_GB2312" w:cs="仿宋_GB2312" w:eastAsia="仿宋_GB2312"/>
                <w:sz w:val="28"/>
                <w:color w:val="000000"/>
              </w:rPr>
              <w:t>收集后的可回收物应运往指定回收处理中心，进行分类处理。</w:t>
            </w:r>
          </w:p>
          <w:p>
            <w:pPr>
              <w:pStyle w:val="null3"/>
              <w:ind w:firstLine="560"/>
              <w:jc w:val="left"/>
            </w:pPr>
            <w:r>
              <w:rPr>
                <w:rFonts w:ascii="仿宋_GB2312" w:hAnsi="仿宋_GB2312" w:cs="仿宋_GB2312" w:eastAsia="仿宋_GB2312"/>
                <w:sz w:val="28"/>
                <w:color w:val="000000"/>
              </w:rPr>
              <w:t>厨余垃圾收集车辆，确保垃圾在运输过程中不渗漏、不散落。</w:t>
            </w:r>
          </w:p>
          <w:p>
            <w:pPr>
              <w:pStyle w:val="null3"/>
              <w:ind w:firstLine="560"/>
              <w:jc w:val="left"/>
            </w:pPr>
            <w:r>
              <w:rPr>
                <w:rFonts w:ascii="仿宋_GB2312" w:hAnsi="仿宋_GB2312" w:cs="仿宋_GB2312" w:eastAsia="仿宋_GB2312"/>
                <w:sz w:val="28"/>
                <w:color w:val="000000"/>
              </w:rPr>
              <w:t>有害垃圾使用专门的密封式有害垃圾收集车辆，避免有害物质泄漏和环境污染。有害垃圾按照国家相关法律法规进行安全处理，不能随意丢弃或混合处理，应送至专业处理机构进行无害化处理。</w:t>
            </w:r>
          </w:p>
          <w:p>
            <w:pPr>
              <w:pStyle w:val="null3"/>
              <w:ind w:firstLine="560"/>
              <w:jc w:val="left"/>
            </w:pPr>
            <w:r>
              <w:rPr>
                <w:rFonts w:ascii="仿宋_GB2312" w:hAnsi="仿宋_GB2312" w:cs="仿宋_GB2312" w:eastAsia="仿宋_GB2312"/>
                <w:sz w:val="28"/>
                <w:color w:val="000000"/>
              </w:rPr>
              <w:t>垃圾清运使用封闭式清运车辆，确保垃圾在运输过程中不散落、不渗漏。</w:t>
            </w:r>
          </w:p>
          <w:p>
            <w:pPr>
              <w:pStyle w:val="null3"/>
              <w:jc w:val="left"/>
            </w:pPr>
            <w:r>
              <w:rPr>
                <w:rFonts w:ascii="仿宋_GB2312" w:hAnsi="仿宋_GB2312" w:cs="仿宋_GB2312" w:eastAsia="仿宋_GB2312"/>
                <w:sz w:val="28"/>
                <w:color w:val="000000"/>
              </w:rPr>
              <w:t>四、其他要求</w:t>
            </w:r>
          </w:p>
          <w:p>
            <w:pPr>
              <w:pStyle w:val="null3"/>
              <w:ind w:firstLine="560"/>
              <w:jc w:val="left"/>
            </w:pPr>
            <w:r>
              <w:rPr>
                <w:rFonts w:ascii="仿宋_GB2312" w:hAnsi="仿宋_GB2312" w:cs="仿宋_GB2312" w:eastAsia="仿宋_GB2312"/>
                <w:sz w:val="28"/>
                <w:color w:val="000000"/>
              </w:rPr>
              <w:t>本合同项下的服务期限为</w:t>
            </w:r>
            <w:r>
              <w:rPr>
                <w:rFonts w:ascii="仿宋_GB2312" w:hAnsi="仿宋_GB2312" w:cs="仿宋_GB2312" w:eastAsia="仿宋_GB2312"/>
                <w:sz w:val="28"/>
                <w:color w:val="000000"/>
              </w:rPr>
              <w:t>三</w:t>
            </w:r>
            <w:r>
              <w:rPr>
                <w:rFonts w:ascii="仿宋_GB2312" w:hAnsi="仿宋_GB2312" w:cs="仿宋_GB2312" w:eastAsia="仿宋_GB2312"/>
                <w:sz w:val="28"/>
                <w:color w:val="000000"/>
              </w:rPr>
              <w:t>年，采取逐年签订的方式，即合同每年一签。招标方将对中标方提供的生活垃圾分类收集处理服务实施年度考核，依据考核结果及双方协商一致的意见，决定是否续签合同。</w:t>
            </w:r>
          </w:p>
          <w:p>
            <w:pPr>
              <w:pStyle w:val="null3"/>
              <w:ind w:firstLine="560"/>
              <w:jc w:val="left"/>
            </w:pPr>
            <w:r>
              <w:rPr>
                <w:rFonts w:ascii="仿宋_GB2312" w:hAnsi="仿宋_GB2312" w:cs="仿宋_GB2312" w:eastAsia="仿宋_GB2312"/>
                <w:sz w:val="28"/>
                <w:color w:val="000000"/>
              </w:rPr>
              <w:t>项目实施前期所需的硬件投资建设费用，将作为项目的前期投入。该项投资费用将伴随垃圾收集处理服务费用的支付，按月逐笔偿还。如在合同期限内中标方未能成功续签合同，则未支付的投资费用将根据甲乙双方的协商结果确定支付方式。双方应就未支付投资费用的处理达成书面一致意见，以确保合同条款的完整履行。</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3年（合同一年一签）</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耀州区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按照合同金额等额分季度进行支付合同款，中标单位向招标人提交正式的付款申请。招标人将对中标人的服务质量进行详细的评估与审核，待考核评估结果合格后，每季度支付合同金额的25%</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按照合同金额等额分季度进行支付合同款，中标单位向招标人提交正式的付款申请。招标人将对中标人的服务质量进行详细的评估与审核，待考核评估结果合格后，每季度支付合同金额的25%14</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按照合同金额等额分季度进行支付合同款，中标单位向招标人提交正式的付款申请。招标人将对中标人的服务质量进行详细的评估与审核，待考核评估结果合格后，每季度支付合同金额的25%</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按照合同金额等额分季度进行支付合同款，中标单位向招标人提交正式的付款申请。招标人将对中标人的服务质量进行详细的评估与审核，待考核评估结果合格后，每季度支付合同金额的25%</w:t>
      </w:r>
      <w:r>
        <w:rPr>
          <w:rFonts w:ascii="仿宋_GB2312" w:hAnsi="仿宋_GB2312" w:cs="仿宋_GB2312" w:eastAsia="仿宋_GB2312"/>
        </w:rPr>
        <w:t xml:space="preserve"> ，达到付款条件起 </w:t>
      </w:r>
      <w:r>
        <w:rPr>
          <w:rFonts w:ascii="仿宋_GB2312" w:hAnsi="仿宋_GB2312" w:cs="仿宋_GB2312" w:eastAsia="仿宋_GB2312"/>
        </w:rPr>
        <w:t>14</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详见采购文件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主要负责人）委托代理人参加投标时，应提供法定代表人（主要负责人）授权委托书；法定代表人（主要负责人）亲自参加投标时，应提供法定代表人（主要负责人）身份证明书；其他组织、自然人参加投标的，须出具参加投标的证明资料。</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的单位出具经审计的2023年或2024年年度的财务审计报告（包括报告正文、资产负债表、利润表、现金流量表及所有者权益变动表（无所有者权益表的提供书面说明）、附注、会计师事务所营业执照及注册会计师执业证书，报告正文应有会计师事务所公章，2个注册会计师的签字和盖章）；事业法人提供部门决算报告；或在开标日期前6个月内其基本开户银行出具的资信证明（附《基本存款账户信息》或《银行开户许可证》复印件）；或财政部门认可的政府采购专业担保机构出具的投标担保函。</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依法缴纳税收的良好记录，缴费所属日期为投标截止时间前一年内已缴纳任意时段（投标截止时间当月不计入）的增值税（或企业所得税）缴费凭据或纳税的银行转账汇款单、对账单等；判定/在法规范围内不需提供的，应出具书面说明和证明文件。</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依法缴纳社会保障资金的良好记录，缴费所属日期为投标截止时间前一年内已缴纳任意时段（投标截止时间当月不计入）的根据银行转账汇款单或社保部门出具的缴纳社会保障金的凭证；判定/在法规范围内不需提供的，应出具书面说明和证明文件。</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供应商不得被“信用中国”网站（www.creditchina.gov.cn）列入失信被执行人和重大税收违法案件当事人名单人，不得被“中国政府采购网”（www.ccgp.gov.cn）列入政府采购严重违法失信行为记录名单。</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履行合同所必需的设备和专业技术能力的书面声明</w:t>
            </w:r>
          </w:p>
        </w:tc>
        <w:tc>
          <w:tcPr>
            <w:tcW w:type="dxa" w:w="3322"/>
          </w:tcPr>
          <w:p>
            <w:pPr>
              <w:pStyle w:val="null3"/>
            </w:pPr>
            <w:r>
              <w:rPr>
                <w:rFonts w:ascii="仿宋_GB2312" w:hAnsi="仿宋_GB2312" w:cs="仿宋_GB2312" w:eastAsia="仿宋_GB2312"/>
              </w:rPr>
              <w:t>提供履行合同所必需的设备和专业技术能力的书面声明。</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与其他投标人不存在单位负责人为同一人，且不存在直接控股、管理关系</w:t>
            </w:r>
          </w:p>
        </w:tc>
        <w:tc>
          <w:tcPr>
            <w:tcW w:type="dxa" w:w="3322"/>
          </w:tcPr>
          <w:p>
            <w:pPr>
              <w:pStyle w:val="null3"/>
            </w:pPr>
            <w:r>
              <w:rPr>
                <w:rFonts w:ascii="仿宋_GB2312" w:hAnsi="仿宋_GB2312" w:cs="仿宋_GB2312" w:eastAsia="仿宋_GB2312"/>
              </w:rPr>
              <w:t>与其他投标人不存在单位负责人为同一人，且不存在直接控股、管理关系：若与其他投标人存在单位负责人为同一人或者存在直接控股、管理关系的，则投标无效。</w:t>
            </w:r>
          </w:p>
        </w:tc>
        <w:tc>
          <w:tcPr>
            <w:tcW w:type="dxa" w:w="1661"/>
          </w:tcPr>
          <w:p>
            <w:pPr>
              <w:pStyle w:val="null3"/>
            </w:pPr>
            <w:r>
              <w:rPr>
                <w:rFonts w:ascii="仿宋_GB2312" w:hAnsi="仿宋_GB2312" w:cs="仿宋_GB2312" w:eastAsia="仿宋_GB2312"/>
              </w:rPr>
              <w:t>投标人资格证明文件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本采购包专门面向中小企业采购，参与的投标人全部为符合政策要求的中小企业。（监狱企业、残疾人福利性单位视同小型、微型企业）。</w:t>
            </w:r>
          </w:p>
        </w:tc>
        <w:tc>
          <w:tcPr>
            <w:tcW w:type="dxa" w:w="1661"/>
          </w:tcPr>
          <w:p>
            <w:pPr>
              <w:pStyle w:val="null3"/>
            </w:pPr>
            <w:r>
              <w:rPr>
                <w:rFonts w:ascii="仿宋_GB2312" w:hAnsi="仿宋_GB2312" w:cs="仿宋_GB2312" w:eastAsia="仿宋_GB2312"/>
              </w:rPr>
              <w:t>中小企业声明函 残疾人福利性单位声明函 投标人资格证明文件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投标人资格证明文件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 中小企业声明函 技术、商务偏离表 其他投标人认为需要提供的资料 投标人资格证明文件 项目业绩 投标函 法定代表人证明书及法定代表人授权委托书 残疾人福利性单位声明函 服务方案 符合政府采购政策的承诺书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投标文件的签署盖章：按招标文件要求相应位置加盖公章，法定代表人或其授权代表人的签字齐全并加盖公章；（2）报价唯一：只能有一个有效报价，不得提交选择性报价，且报价不超过采购预算和最高限价中的任何一个。</w:t>
            </w:r>
          </w:p>
        </w:tc>
        <w:tc>
          <w:tcPr>
            <w:tcW w:type="dxa" w:w="1661"/>
          </w:tcPr>
          <w:p>
            <w:pPr>
              <w:pStyle w:val="null3"/>
            </w:pPr>
            <w:r>
              <w:rPr>
                <w:rFonts w:ascii="仿宋_GB2312" w:hAnsi="仿宋_GB2312" w:cs="仿宋_GB2312" w:eastAsia="仿宋_GB2312"/>
              </w:rPr>
              <w:t>分项报价表 中小企业声明函 技术、商务偏离表 其他投标人认为需要提供的资料 投标人资格证明文件 项目业绩 投标函 法定代表人证明书及法定代表人授权委托书 残疾人福利性单位声明函 服务方案 符合政府采购政策的承诺书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完整性审查</w:t>
            </w:r>
          </w:p>
        </w:tc>
        <w:tc>
          <w:tcPr>
            <w:tcW w:type="dxa" w:w="3322"/>
          </w:tcPr>
          <w:p>
            <w:pPr>
              <w:pStyle w:val="null3"/>
            </w:pPr>
            <w:r>
              <w:rPr>
                <w:rFonts w:ascii="仿宋_GB2312" w:hAnsi="仿宋_GB2312" w:cs="仿宋_GB2312" w:eastAsia="仿宋_GB2312"/>
              </w:rPr>
              <w:t>投标文件内容：要求必须响应的内容齐全、无遗漏。</w:t>
            </w:r>
          </w:p>
        </w:tc>
        <w:tc>
          <w:tcPr>
            <w:tcW w:type="dxa" w:w="1661"/>
          </w:tcPr>
          <w:p>
            <w:pPr>
              <w:pStyle w:val="null3"/>
            </w:pPr>
            <w:r>
              <w:rPr>
                <w:rFonts w:ascii="仿宋_GB2312" w:hAnsi="仿宋_GB2312" w:cs="仿宋_GB2312" w:eastAsia="仿宋_GB2312"/>
              </w:rPr>
              <w:t>分项报价表 中小企业声明函 技术、商务偏离表 其他投标人认为需要提供的资料 投标人资格证明文件 项目业绩 投标函 法定代表人证明书及法定代表人授权委托书 残疾人福利性单位声明函 服务方案 符合政府采购政策的承诺书 标的清单 投标文件封面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投标文件的响应程度审查</w:t>
            </w:r>
          </w:p>
        </w:tc>
        <w:tc>
          <w:tcPr>
            <w:tcW w:type="dxa" w:w="3322"/>
          </w:tcPr>
          <w:p>
            <w:pPr>
              <w:pStyle w:val="null3"/>
            </w:pPr>
            <w:r>
              <w:rPr>
                <w:rFonts w:ascii="仿宋_GB2312" w:hAnsi="仿宋_GB2312" w:cs="仿宋_GB2312" w:eastAsia="仿宋_GB2312"/>
              </w:rPr>
              <w:t>（1）招标文件响应程度：要求全面响应，不能有任何采购人不能接受的附加条件；（2）拟提供的服务要求：应满足招标文件提出的技术和服务要求。（3）投标有效期：应满足招标文件中的规定；（4）合同履行期限：应满足招标文件中的规定。</w:t>
            </w:r>
          </w:p>
        </w:tc>
        <w:tc>
          <w:tcPr>
            <w:tcW w:type="dxa" w:w="1661"/>
          </w:tcPr>
          <w:p>
            <w:pPr>
              <w:pStyle w:val="null3"/>
            </w:pPr>
            <w:r>
              <w:rPr>
                <w:rFonts w:ascii="仿宋_GB2312" w:hAnsi="仿宋_GB2312" w:cs="仿宋_GB2312" w:eastAsia="仿宋_GB2312"/>
              </w:rPr>
              <w:t>分项报价表 中小企业声明函 技术、商务偏离表 其他投标人认为需要提供的资料 投标人资格证明文件 项目业绩 投标函 法定代表人证明书及法定代表人授权委托书 残疾人福利性单位声明函 服务方案 符合政府采购政策的承诺书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总体方案</w:t>
            </w:r>
          </w:p>
        </w:tc>
        <w:tc>
          <w:tcPr>
            <w:tcW w:type="dxa" w:w="2492"/>
          </w:tcPr>
          <w:p>
            <w:pPr>
              <w:pStyle w:val="null3"/>
            </w:pPr>
            <w:r>
              <w:rPr>
                <w:rFonts w:ascii="仿宋_GB2312" w:hAnsi="仿宋_GB2312" w:cs="仿宋_GB2312" w:eastAsia="仿宋_GB2312"/>
              </w:rPr>
              <w:t>内容至少包括①背景分析；②项目实施思路；③硬件投资建设方案；④四类垃圾收集处理；⑤服务目标控制等。上述各部分内容全面详细、阐述条理清晰详尽、符合且针对本项目采购需求得25分，每缺一项内容扣5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管理制度</w:t>
            </w:r>
          </w:p>
        </w:tc>
        <w:tc>
          <w:tcPr>
            <w:tcW w:type="dxa" w:w="2492"/>
          </w:tcPr>
          <w:p>
            <w:pPr>
              <w:pStyle w:val="null3"/>
            </w:pPr>
            <w:r>
              <w:rPr>
                <w:rFonts w:ascii="仿宋_GB2312" w:hAnsi="仿宋_GB2312" w:cs="仿宋_GB2312" w:eastAsia="仿宋_GB2312"/>
              </w:rPr>
              <w:t>内容至少包括①岗位职责：具有岗位工作标准、服务质量标准、作业流程及作业记录②内控制度：具有保密制度、管理组织机构、问责机制、监督机制、自查制度③人员管理制度：具有员工日常管理办法、保密制度、请销假制度、奖惩措施、激励机制、仪容仪表制度④档案管理制度：记录、档案资料收集分类、归档资料的使用、保存及销毁。 上述各部分内容全面详细、阐述条理清晰详尽、符合且针对本项目采购需求得20分，每缺一项内容扣5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重点难点分析</w:t>
            </w:r>
          </w:p>
        </w:tc>
        <w:tc>
          <w:tcPr>
            <w:tcW w:type="dxa" w:w="2492"/>
          </w:tcPr>
          <w:p>
            <w:pPr>
              <w:pStyle w:val="null3"/>
            </w:pPr>
            <w:r>
              <w:rPr>
                <w:rFonts w:ascii="仿宋_GB2312" w:hAnsi="仿宋_GB2312" w:cs="仿宋_GB2312" w:eastAsia="仿宋_GB2312"/>
              </w:rPr>
              <w:t>内容至少包括①重、难点分析；②风险点分析；③解决措施等。上述各部分内容全面详细、阐述条理清晰详尽、符合且针对本项目采购需求得12分，每缺一项内容扣4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内容至少包括①团队组织人员配置明细；②团队人员管理制度；③各专业岗位配置；④配置人员工作经验等。 上述各部分内容全面详细、阐述条理清晰详尽、符合且针对本项目采购需求得12分，每缺一项内容扣3分，评审内容有缺陷的根据情况扣分，扣完为止。“缺陷”是指：内容粗略、逻辑混乱、描述过于简单、与项目特点不匹配、凭空编造、逻辑漏洞、出现常识性错误、存在不适用项目实际情况的情形或只有标题没有实质性内容等。 说明：拟投入项目团队人员必须为本单位在职人员。</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培训考核方案</w:t>
            </w:r>
          </w:p>
        </w:tc>
        <w:tc>
          <w:tcPr>
            <w:tcW w:type="dxa" w:w="2492"/>
          </w:tcPr>
          <w:p>
            <w:pPr>
              <w:pStyle w:val="null3"/>
            </w:pPr>
            <w:r>
              <w:rPr>
                <w:rFonts w:ascii="仿宋_GB2312" w:hAnsi="仿宋_GB2312" w:cs="仿宋_GB2312" w:eastAsia="仿宋_GB2312"/>
              </w:rPr>
              <w:t>内容至少包括①培训：针对不同的岗位职责、行为规范、服务礼仪等方面制定培训方案②考核：针对不同的岗位、制度及工作程序制定考核方案。③针对四类垃圾收集处理的针对性培训。 上述各部分内容全面详细、阐述条理清晰详尽、符合且针对本项目采购需求得9分，每缺一项内容扣3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内容至少包括含①应急小组成员及职责；②针对本项目实施期间的风险分析；③风险事件应急处置流程及方案；④应急处置注意事项；⑤应急响应安排等。 上述各部分内容全面详细、阐述条理清晰详尽、符合且针对本项目采购需求得10分，每缺一项内容扣2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供应商具有2022年1月1日至今（以合同签订时间为准）同类项目业绩，响应文件中提供合同复印件加盖供应商公章，每提供一个得0.5分，最高得2分。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投标报价。2.满足招标文件实质性要求且报价最低的投标人的价格为基准价，其价格分为满分10分。3.报价得分=（基准价/投标报价）×10的公式计算得分。4.经评委一致认定，投标报价低于公认市场成本，或超过采购预算,其响应将被拒绝。</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详见附件：分项报价表</w:t>
      </w:r>
    </w:p>
    <w:p>
      <w:pPr>
        <w:pStyle w:val="null3"/>
        <w:ind w:firstLine="960"/>
      </w:pPr>
      <w:r>
        <w:rPr>
          <w:rFonts w:ascii="仿宋_GB2312" w:hAnsi="仿宋_GB2312" w:cs="仿宋_GB2312" w:eastAsia="仿宋_GB2312"/>
        </w:rPr>
        <w:t>详见附件：法定代表人证明书及法定代表人授权委托书</w:t>
      </w:r>
    </w:p>
    <w:p>
      <w:pPr>
        <w:pStyle w:val="null3"/>
        <w:ind w:firstLine="960"/>
      </w:pPr>
      <w:r>
        <w:rPr>
          <w:rFonts w:ascii="仿宋_GB2312" w:hAnsi="仿宋_GB2312" w:cs="仿宋_GB2312" w:eastAsia="仿宋_GB2312"/>
        </w:rPr>
        <w:t>详见附件：技术、商务偏离表</w:t>
      </w:r>
    </w:p>
    <w:p>
      <w:pPr>
        <w:pStyle w:val="null3"/>
        <w:ind w:firstLine="960"/>
      </w:pPr>
      <w:r>
        <w:rPr>
          <w:rFonts w:ascii="仿宋_GB2312" w:hAnsi="仿宋_GB2312" w:cs="仿宋_GB2312" w:eastAsia="仿宋_GB2312"/>
        </w:rPr>
        <w:t>详见附件：投标人资格证明文件</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详见附件：项目业绩</w:t>
      </w:r>
    </w:p>
    <w:p>
      <w:pPr>
        <w:pStyle w:val="null3"/>
        <w:ind w:firstLine="960"/>
      </w:pPr>
      <w:r>
        <w:rPr>
          <w:rFonts w:ascii="仿宋_GB2312" w:hAnsi="仿宋_GB2312" w:cs="仿宋_GB2312" w:eastAsia="仿宋_GB2312"/>
        </w:rPr>
        <w:t>详见附件：符合政府采购政策的承诺书</w:t>
      </w:r>
    </w:p>
    <w:p>
      <w:pPr>
        <w:pStyle w:val="null3"/>
        <w:ind w:firstLine="960"/>
      </w:pPr>
      <w:r>
        <w:rPr>
          <w:rFonts w:ascii="仿宋_GB2312" w:hAnsi="仿宋_GB2312" w:cs="仿宋_GB2312" w:eastAsia="仿宋_GB2312"/>
        </w:rPr>
        <w:t>详见附件：其他投标人认为需要提供的资料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