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4B4BE2">
      <w:pPr>
        <w:spacing w:line="360" w:lineRule="auto"/>
        <w:jc w:val="both"/>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甲方：</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p>
    <w:p w14:paraId="46BD4C19">
      <w:pPr>
        <w:spacing w:line="360" w:lineRule="auto"/>
        <w:jc w:val="both"/>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乙方：</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p>
    <w:p w14:paraId="4DA8DD8F">
      <w:pPr>
        <w:keepNext w:val="0"/>
        <w:keepLines w:val="0"/>
        <w:pageBreakBefore w:val="0"/>
        <w:widowControl w:val="0"/>
        <w:kinsoku/>
        <w:wordWrap/>
        <w:overflowPunct/>
        <w:topLinePunct w:val="0"/>
        <w:autoSpaceDE/>
        <w:autoSpaceDN/>
        <w:bidi w:val="0"/>
        <w:adjustRightInd/>
        <w:snapToGrid/>
        <w:spacing w:line="360" w:lineRule="auto"/>
        <w:ind w:right="210" w:rightChars="100" w:firstLine="420" w:firstLineChars="200"/>
        <w:jc w:val="both"/>
        <w:textAlignment w:val="auto"/>
        <w:rPr>
          <w:rFonts w:hint="eastAsia" w:ascii="宋体" w:hAnsi="宋体" w:cs="宋体"/>
          <w:color w:val="auto"/>
          <w:szCs w:val="21"/>
          <w:highlight w:val="none"/>
        </w:rPr>
      </w:pPr>
      <w:r>
        <w:rPr>
          <w:rFonts w:hint="eastAsia" w:ascii="宋体" w:hAnsi="宋体" w:cs="宋体"/>
          <w:color w:val="auto"/>
          <w:szCs w:val="21"/>
          <w:highlight w:val="none"/>
        </w:rPr>
        <w:t>按照政府采购程序组织公开招标，确定乙方为中标供应商。依据《中华人民共和国政府采购法》《中华人民共和国民法典》以及招标文件、中标供应商的投标文件正本和澄清表（函）、中标通知书，经甲、乙双方协商，达成如下条款：</w:t>
      </w:r>
    </w:p>
    <w:p w14:paraId="459C4611">
      <w:pPr>
        <w:tabs>
          <w:tab w:val="left" w:pos="480"/>
        </w:tabs>
        <w:spacing w:line="360" w:lineRule="auto"/>
        <w:ind w:firstLine="422" w:firstLineChars="200"/>
        <w:jc w:val="both"/>
        <w:rPr>
          <w:rFonts w:ascii="宋体" w:hAnsi="宋体" w:cs="宋体"/>
          <w:b/>
          <w:color w:val="auto"/>
          <w:szCs w:val="21"/>
          <w:highlight w:val="none"/>
        </w:rPr>
      </w:pPr>
      <w:r>
        <w:rPr>
          <w:rFonts w:hint="eastAsia" w:ascii="宋体" w:hAnsi="宋体" w:cs="宋体"/>
          <w:b/>
          <w:color w:val="auto"/>
          <w:szCs w:val="21"/>
          <w:highlight w:val="none"/>
        </w:rPr>
        <w:t>一、合同标的物内容及数量</w:t>
      </w:r>
      <w:r>
        <w:rPr>
          <w:rFonts w:hint="eastAsia" w:ascii="宋体" w:hAnsi="宋体" w:cs="宋体"/>
          <w:color w:val="auto"/>
          <w:szCs w:val="21"/>
          <w:highlight w:val="none"/>
        </w:rPr>
        <w:t>（以投标文件正本和澄清表〈函〉为准）</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1634"/>
        <w:gridCol w:w="1073"/>
        <w:gridCol w:w="1233"/>
        <w:gridCol w:w="1316"/>
        <w:gridCol w:w="2211"/>
      </w:tblGrid>
      <w:tr w14:paraId="5A6BA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center"/>
          </w:tcPr>
          <w:p w14:paraId="44B01679">
            <w:pPr>
              <w:tabs>
                <w:tab w:val="left" w:pos="480"/>
              </w:tabs>
              <w:spacing w:line="360" w:lineRule="auto"/>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634" w:type="dxa"/>
            <w:tcBorders>
              <w:top w:val="single" w:color="auto" w:sz="4" w:space="0"/>
              <w:left w:val="single" w:color="auto" w:sz="4" w:space="0"/>
              <w:bottom w:val="single" w:color="auto" w:sz="4" w:space="0"/>
              <w:right w:val="single" w:color="auto" w:sz="4" w:space="0"/>
            </w:tcBorders>
            <w:vAlign w:val="center"/>
          </w:tcPr>
          <w:p w14:paraId="420FE530">
            <w:pPr>
              <w:tabs>
                <w:tab w:val="left" w:pos="480"/>
              </w:tabs>
              <w:spacing w:line="360" w:lineRule="auto"/>
              <w:jc w:val="center"/>
              <w:rPr>
                <w:rFonts w:ascii="宋体" w:hAnsi="宋体" w:cs="宋体"/>
                <w:color w:val="auto"/>
                <w:szCs w:val="21"/>
                <w:highlight w:val="none"/>
              </w:rPr>
            </w:pPr>
            <w:r>
              <w:rPr>
                <w:rFonts w:hint="eastAsia" w:ascii="宋体" w:hAnsi="宋体" w:cs="宋体"/>
                <w:color w:val="auto"/>
                <w:szCs w:val="21"/>
                <w:highlight w:val="none"/>
              </w:rPr>
              <w:t>货物名称</w:t>
            </w:r>
          </w:p>
        </w:tc>
        <w:tc>
          <w:tcPr>
            <w:tcW w:w="1073" w:type="dxa"/>
            <w:tcBorders>
              <w:top w:val="single" w:color="auto" w:sz="4" w:space="0"/>
              <w:left w:val="single" w:color="auto" w:sz="4" w:space="0"/>
              <w:bottom w:val="single" w:color="auto" w:sz="4" w:space="0"/>
              <w:right w:val="single" w:color="auto" w:sz="4" w:space="0"/>
            </w:tcBorders>
            <w:vAlign w:val="center"/>
          </w:tcPr>
          <w:p w14:paraId="54B01101">
            <w:pPr>
              <w:tabs>
                <w:tab w:val="left" w:pos="480"/>
              </w:tabs>
              <w:spacing w:line="360" w:lineRule="auto"/>
              <w:jc w:val="center"/>
              <w:rPr>
                <w:rFonts w:ascii="宋体" w:hAnsi="宋体" w:cs="宋体"/>
                <w:color w:val="auto"/>
                <w:szCs w:val="21"/>
                <w:highlight w:val="none"/>
              </w:rPr>
            </w:pPr>
            <w:r>
              <w:rPr>
                <w:rFonts w:hint="eastAsia" w:ascii="宋体" w:hAnsi="宋体" w:cs="宋体"/>
                <w:color w:val="auto"/>
                <w:szCs w:val="21"/>
                <w:highlight w:val="none"/>
              </w:rPr>
              <w:t>数量</w:t>
            </w:r>
          </w:p>
        </w:tc>
        <w:tc>
          <w:tcPr>
            <w:tcW w:w="1233" w:type="dxa"/>
            <w:tcBorders>
              <w:top w:val="single" w:color="auto" w:sz="4" w:space="0"/>
              <w:left w:val="single" w:color="auto" w:sz="4" w:space="0"/>
              <w:bottom w:val="single" w:color="auto" w:sz="4" w:space="0"/>
              <w:right w:val="single" w:color="auto" w:sz="4" w:space="0"/>
            </w:tcBorders>
            <w:vAlign w:val="center"/>
          </w:tcPr>
          <w:p w14:paraId="241C0F02">
            <w:pPr>
              <w:tabs>
                <w:tab w:val="left" w:pos="480"/>
              </w:tabs>
              <w:spacing w:line="360" w:lineRule="auto"/>
              <w:jc w:val="center"/>
              <w:rPr>
                <w:rFonts w:ascii="宋体" w:hAnsi="宋体" w:cs="宋体"/>
                <w:color w:val="auto"/>
                <w:szCs w:val="21"/>
                <w:highlight w:val="none"/>
              </w:rPr>
            </w:pPr>
            <w:r>
              <w:rPr>
                <w:rFonts w:hint="eastAsia" w:ascii="宋体" w:hAnsi="宋体" w:cs="宋体"/>
                <w:color w:val="auto"/>
                <w:szCs w:val="21"/>
                <w:highlight w:val="none"/>
              </w:rPr>
              <w:t>产地</w:t>
            </w:r>
          </w:p>
        </w:tc>
        <w:tc>
          <w:tcPr>
            <w:tcW w:w="1316" w:type="dxa"/>
            <w:tcBorders>
              <w:top w:val="single" w:color="auto" w:sz="4" w:space="0"/>
              <w:left w:val="single" w:color="auto" w:sz="4" w:space="0"/>
              <w:bottom w:val="single" w:color="auto" w:sz="4" w:space="0"/>
              <w:right w:val="single" w:color="auto" w:sz="4" w:space="0"/>
            </w:tcBorders>
            <w:vAlign w:val="center"/>
          </w:tcPr>
          <w:p w14:paraId="72B17EDF">
            <w:pPr>
              <w:tabs>
                <w:tab w:val="left" w:pos="480"/>
              </w:tabs>
              <w:jc w:val="center"/>
              <w:rPr>
                <w:rFonts w:ascii="宋体" w:hAnsi="宋体" w:cs="宋体"/>
                <w:color w:val="auto"/>
                <w:szCs w:val="21"/>
                <w:highlight w:val="none"/>
              </w:rPr>
            </w:pPr>
            <w:r>
              <w:rPr>
                <w:rFonts w:hint="eastAsia" w:ascii="宋体" w:hAnsi="宋体" w:cs="宋体"/>
                <w:color w:val="auto"/>
                <w:szCs w:val="21"/>
                <w:highlight w:val="none"/>
              </w:rPr>
              <w:t>品牌</w:t>
            </w:r>
          </w:p>
        </w:tc>
        <w:tc>
          <w:tcPr>
            <w:tcW w:w="2211" w:type="dxa"/>
            <w:tcBorders>
              <w:top w:val="single" w:color="auto" w:sz="4" w:space="0"/>
              <w:left w:val="single" w:color="auto" w:sz="4" w:space="0"/>
              <w:bottom w:val="single" w:color="auto" w:sz="4" w:space="0"/>
              <w:right w:val="single" w:color="auto" w:sz="4" w:space="0"/>
            </w:tcBorders>
            <w:vAlign w:val="center"/>
          </w:tcPr>
          <w:p w14:paraId="06D06C93">
            <w:pPr>
              <w:tabs>
                <w:tab w:val="left" w:pos="480"/>
              </w:tabs>
              <w:spacing w:line="360" w:lineRule="auto"/>
              <w:jc w:val="center"/>
              <w:rPr>
                <w:rFonts w:ascii="宋体" w:hAnsi="宋体" w:cs="宋体"/>
                <w:color w:val="auto"/>
                <w:szCs w:val="21"/>
                <w:highlight w:val="none"/>
              </w:rPr>
            </w:pPr>
            <w:r>
              <w:rPr>
                <w:rFonts w:hint="eastAsia" w:ascii="宋体" w:hAnsi="宋体" w:cs="宋体"/>
                <w:color w:val="auto"/>
                <w:szCs w:val="21"/>
                <w:highlight w:val="none"/>
              </w:rPr>
              <w:t>备注</w:t>
            </w:r>
          </w:p>
        </w:tc>
      </w:tr>
      <w:tr w14:paraId="6C990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center"/>
          </w:tcPr>
          <w:p w14:paraId="324EA951">
            <w:pPr>
              <w:tabs>
                <w:tab w:val="left" w:pos="480"/>
              </w:tabs>
              <w:spacing w:line="360" w:lineRule="auto"/>
              <w:jc w:val="center"/>
              <w:rPr>
                <w:rFonts w:ascii="宋体" w:hAnsi="宋体" w:cs="宋体"/>
                <w:color w:val="auto"/>
                <w:szCs w:val="21"/>
                <w:highlight w:val="none"/>
              </w:rPr>
            </w:pPr>
            <w:r>
              <w:rPr>
                <w:rFonts w:hint="eastAsia" w:ascii="宋体" w:hAnsi="宋体" w:cs="宋体"/>
                <w:color w:val="auto"/>
                <w:szCs w:val="21"/>
                <w:highlight w:val="none"/>
              </w:rPr>
              <w:t>1</w:t>
            </w:r>
          </w:p>
        </w:tc>
        <w:tc>
          <w:tcPr>
            <w:tcW w:w="1634" w:type="dxa"/>
            <w:tcBorders>
              <w:top w:val="single" w:color="auto" w:sz="4" w:space="0"/>
              <w:left w:val="single" w:color="auto" w:sz="4" w:space="0"/>
              <w:bottom w:val="single" w:color="auto" w:sz="4" w:space="0"/>
              <w:right w:val="single" w:color="auto" w:sz="4" w:space="0"/>
            </w:tcBorders>
            <w:vAlign w:val="center"/>
          </w:tcPr>
          <w:p w14:paraId="490F7752">
            <w:pPr>
              <w:tabs>
                <w:tab w:val="left" w:pos="480"/>
              </w:tabs>
              <w:spacing w:line="360" w:lineRule="auto"/>
              <w:jc w:val="center"/>
              <w:rPr>
                <w:rFonts w:ascii="宋体" w:hAnsi="宋体" w:cs="宋体"/>
                <w:color w:val="auto"/>
                <w:szCs w:val="21"/>
                <w:highlight w:val="none"/>
              </w:rPr>
            </w:pPr>
          </w:p>
        </w:tc>
        <w:tc>
          <w:tcPr>
            <w:tcW w:w="1073" w:type="dxa"/>
            <w:tcBorders>
              <w:top w:val="single" w:color="auto" w:sz="4" w:space="0"/>
              <w:left w:val="single" w:color="auto" w:sz="4" w:space="0"/>
              <w:bottom w:val="single" w:color="auto" w:sz="4" w:space="0"/>
              <w:right w:val="single" w:color="auto" w:sz="4" w:space="0"/>
            </w:tcBorders>
            <w:vAlign w:val="center"/>
          </w:tcPr>
          <w:p w14:paraId="420A8641">
            <w:pPr>
              <w:tabs>
                <w:tab w:val="left" w:pos="480"/>
              </w:tabs>
              <w:spacing w:line="360" w:lineRule="auto"/>
              <w:jc w:val="center"/>
              <w:rPr>
                <w:rFonts w:ascii="宋体" w:hAnsi="宋体" w:cs="宋体"/>
                <w:color w:val="auto"/>
                <w:szCs w:val="21"/>
                <w:highlight w:val="none"/>
              </w:rPr>
            </w:pPr>
          </w:p>
        </w:tc>
        <w:tc>
          <w:tcPr>
            <w:tcW w:w="1233" w:type="dxa"/>
            <w:tcBorders>
              <w:top w:val="single" w:color="auto" w:sz="4" w:space="0"/>
              <w:left w:val="single" w:color="auto" w:sz="4" w:space="0"/>
              <w:bottom w:val="single" w:color="auto" w:sz="4" w:space="0"/>
              <w:right w:val="single" w:color="auto" w:sz="4" w:space="0"/>
            </w:tcBorders>
            <w:vAlign w:val="center"/>
          </w:tcPr>
          <w:p w14:paraId="6F0DC703">
            <w:pPr>
              <w:tabs>
                <w:tab w:val="left" w:pos="480"/>
              </w:tabs>
              <w:spacing w:line="360" w:lineRule="auto"/>
              <w:jc w:val="center"/>
              <w:rPr>
                <w:rFonts w:ascii="宋体" w:hAnsi="宋体" w:cs="宋体"/>
                <w:color w:val="auto"/>
                <w:szCs w:val="21"/>
                <w:highlight w:val="none"/>
              </w:rPr>
            </w:pPr>
          </w:p>
        </w:tc>
        <w:tc>
          <w:tcPr>
            <w:tcW w:w="1316" w:type="dxa"/>
            <w:tcBorders>
              <w:top w:val="single" w:color="auto" w:sz="4" w:space="0"/>
              <w:left w:val="single" w:color="auto" w:sz="4" w:space="0"/>
              <w:bottom w:val="single" w:color="auto" w:sz="4" w:space="0"/>
              <w:right w:val="single" w:color="auto" w:sz="4" w:space="0"/>
            </w:tcBorders>
            <w:vAlign w:val="center"/>
          </w:tcPr>
          <w:p w14:paraId="6D834F43">
            <w:pPr>
              <w:tabs>
                <w:tab w:val="left" w:pos="480"/>
              </w:tabs>
              <w:spacing w:line="360" w:lineRule="auto"/>
              <w:jc w:val="center"/>
              <w:rPr>
                <w:rFonts w:ascii="宋体" w:hAnsi="宋体" w:cs="宋体"/>
                <w:color w:val="auto"/>
                <w:szCs w:val="21"/>
                <w:highlight w:val="none"/>
              </w:rPr>
            </w:pPr>
          </w:p>
        </w:tc>
        <w:tc>
          <w:tcPr>
            <w:tcW w:w="2211" w:type="dxa"/>
            <w:tcBorders>
              <w:top w:val="single" w:color="auto" w:sz="4" w:space="0"/>
              <w:left w:val="single" w:color="auto" w:sz="4" w:space="0"/>
              <w:bottom w:val="single" w:color="auto" w:sz="4" w:space="0"/>
              <w:right w:val="single" w:color="auto" w:sz="4" w:space="0"/>
            </w:tcBorders>
            <w:vAlign w:val="center"/>
          </w:tcPr>
          <w:p w14:paraId="7F434B86">
            <w:pPr>
              <w:tabs>
                <w:tab w:val="left" w:pos="480"/>
              </w:tabs>
              <w:spacing w:line="360" w:lineRule="auto"/>
              <w:jc w:val="center"/>
              <w:rPr>
                <w:rFonts w:ascii="宋体" w:hAnsi="宋体" w:cs="宋体"/>
                <w:color w:val="auto"/>
                <w:szCs w:val="21"/>
                <w:highlight w:val="none"/>
              </w:rPr>
            </w:pPr>
          </w:p>
        </w:tc>
      </w:tr>
      <w:tr w14:paraId="453CC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center"/>
          </w:tcPr>
          <w:p w14:paraId="54FBF057">
            <w:pPr>
              <w:tabs>
                <w:tab w:val="left" w:pos="480"/>
              </w:tabs>
              <w:spacing w:line="360" w:lineRule="auto"/>
              <w:jc w:val="center"/>
              <w:rPr>
                <w:rFonts w:ascii="宋体" w:hAnsi="宋体" w:cs="宋体"/>
                <w:color w:val="auto"/>
                <w:szCs w:val="21"/>
                <w:highlight w:val="none"/>
              </w:rPr>
            </w:pPr>
            <w:r>
              <w:rPr>
                <w:rFonts w:hint="eastAsia" w:ascii="宋体" w:hAnsi="宋体" w:cs="宋体"/>
                <w:color w:val="auto"/>
                <w:szCs w:val="21"/>
                <w:highlight w:val="none"/>
              </w:rPr>
              <w:t>2</w:t>
            </w:r>
          </w:p>
        </w:tc>
        <w:tc>
          <w:tcPr>
            <w:tcW w:w="1634" w:type="dxa"/>
            <w:tcBorders>
              <w:top w:val="single" w:color="auto" w:sz="4" w:space="0"/>
              <w:left w:val="single" w:color="auto" w:sz="4" w:space="0"/>
              <w:bottom w:val="single" w:color="auto" w:sz="4" w:space="0"/>
              <w:right w:val="single" w:color="auto" w:sz="4" w:space="0"/>
            </w:tcBorders>
            <w:vAlign w:val="center"/>
          </w:tcPr>
          <w:p w14:paraId="353E5D74">
            <w:pPr>
              <w:tabs>
                <w:tab w:val="left" w:pos="480"/>
              </w:tabs>
              <w:spacing w:line="360" w:lineRule="auto"/>
              <w:jc w:val="center"/>
              <w:rPr>
                <w:rFonts w:ascii="宋体" w:hAnsi="宋体" w:cs="宋体"/>
                <w:color w:val="auto"/>
                <w:szCs w:val="21"/>
                <w:highlight w:val="none"/>
              </w:rPr>
            </w:pPr>
          </w:p>
        </w:tc>
        <w:tc>
          <w:tcPr>
            <w:tcW w:w="1073" w:type="dxa"/>
            <w:tcBorders>
              <w:top w:val="single" w:color="auto" w:sz="4" w:space="0"/>
              <w:left w:val="single" w:color="auto" w:sz="4" w:space="0"/>
              <w:bottom w:val="single" w:color="auto" w:sz="4" w:space="0"/>
              <w:right w:val="single" w:color="auto" w:sz="4" w:space="0"/>
            </w:tcBorders>
            <w:vAlign w:val="center"/>
          </w:tcPr>
          <w:p w14:paraId="128BF122">
            <w:pPr>
              <w:tabs>
                <w:tab w:val="left" w:pos="480"/>
              </w:tabs>
              <w:spacing w:line="360" w:lineRule="auto"/>
              <w:jc w:val="center"/>
              <w:rPr>
                <w:rFonts w:ascii="宋体" w:hAnsi="宋体" w:cs="宋体"/>
                <w:color w:val="auto"/>
                <w:szCs w:val="21"/>
                <w:highlight w:val="none"/>
              </w:rPr>
            </w:pPr>
          </w:p>
        </w:tc>
        <w:tc>
          <w:tcPr>
            <w:tcW w:w="1233" w:type="dxa"/>
            <w:tcBorders>
              <w:top w:val="single" w:color="auto" w:sz="4" w:space="0"/>
              <w:left w:val="single" w:color="auto" w:sz="4" w:space="0"/>
              <w:bottom w:val="single" w:color="auto" w:sz="4" w:space="0"/>
              <w:right w:val="single" w:color="auto" w:sz="4" w:space="0"/>
            </w:tcBorders>
            <w:vAlign w:val="center"/>
          </w:tcPr>
          <w:p w14:paraId="2E69D128">
            <w:pPr>
              <w:tabs>
                <w:tab w:val="left" w:pos="480"/>
              </w:tabs>
              <w:spacing w:line="360" w:lineRule="auto"/>
              <w:jc w:val="center"/>
              <w:rPr>
                <w:rFonts w:ascii="宋体" w:hAnsi="宋体" w:cs="宋体"/>
                <w:color w:val="auto"/>
                <w:szCs w:val="21"/>
                <w:highlight w:val="none"/>
              </w:rPr>
            </w:pPr>
          </w:p>
        </w:tc>
        <w:tc>
          <w:tcPr>
            <w:tcW w:w="1316" w:type="dxa"/>
            <w:tcBorders>
              <w:top w:val="single" w:color="auto" w:sz="4" w:space="0"/>
              <w:left w:val="single" w:color="auto" w:sz="4" w:space="0"/>
              <w:bottom w:val="single" w:color="auto" w:sz="4" w:space="0"/>
              <w:right w:val="single" w:color="auto" w:sz="4" w:space="0"/>
            </w:tcBorders>
            <w:vAlign w:val="center"/>
          </w:tcPr>
          <w:p w14:paraId="360BC047">
            <w:pPr>
              <w:tabs>
                <w:tab w:val="left" w:pos="480"/>
              </w:tabs>
              <w:spacing w:line="360" w:lineRule="auto"/>
              <w:jc w:val="center"/>
              <w:rPr>
                <w:rFonts w:ascii="宋体" w:hAnsi="宋体" w:cs="宋体"/>
                <w:color w:val="auto"/>
                <w:szCs w:val="21"/>
                <w:highlight w:val="none"/>
              </w:rPr>
            </w:pPr>
          </w:p>
        </w:tc>
        <w:tc>
          <w:tcPr>
            <w:tcW w:w="2211" w:type="dxa"/>
            <w:tcBorders>
              <w:top w:val="single" w:color="auto" w:sz="4" w:space="0"/>
              <w:left w:val="single" w:color="auto" w:sz="4" w:space="0"/>
              <w:bottom w:val="single" w:color="auto" w:sz="4" w:space="0"/>
              <w:right w:val="single" w:color="auto" w:sz="4" w:space="0"/>
            </w:tcBorders>
            <w:vAlign w:val="center"/>
          </w:tcPr>
          <w:p w14:paraId="74734F2C">
            <w:pPr>
              <w:tabs>
                <w:tab w:val="left" w:pos="480"/>
              </w:tabs>
              <w:spacing w:line="360" w:lineRule="auto"/>
              <w:jc w:val="center"/>
              <w:rPr>
                <w:rFonts w:ascii="宋体" w:hAnsi="宋体" w:cs="宋体"/>
                <w:color w:val="auto"/>
                <w:szCs w:val="21"/>
                <w:highlight w:val="none"/>
              </w:rPr>
            </w:pPr>
          </w:p>
        </w:tc>
      </w:tr>
      <w:tr w14:paraId="7093C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center"/>
          </w:tcPr>
          <w:p w14:paraId="3A167F79">
            <w:pPr>
              <w:tabs>
                <w:tab w:val="left" w:pos="480"/>
              </w:tabs>
              <w:spacing w:line="360" w:lineRule="auto"/>
              <w:jc w:val="center"/>
              <w:rPr>
                <w:rFonts w:ascii="宋体" w:hAnsi="宋体" w:cs="宋体"/>
                <w:color w:val="auto"/>
                <w:szCs w:val="21"/>
                <w:highlight w:val="none"/>
              </w:rPr>
            </w:pPr>
            <w:r>
              <w:rPr>
                <w:rFonts w:hint="eastAsia" w:ascii="宋体" w:hAnsi="宋体" w:cs="宋体"/>
                <w:color w:val="auto"/>
                <w:szCs w:val="21"/>
                <w:highlight w:val="none"/>
              </w:rPr>
              <w:t>3</w:t>
            </w:r>
          </w:p>
        </w:tc>
        <w:tc>
          <w:tcPr>
            <w:tcW w:w="1634" w:type="dxa"/>
            <w:tcBorders>
              <w:top w:val="single" w:color="auto" w:sz="4" w:space="0"/>
              <w:left w:val="single" w:color="auto" w:sz="4" w:space="0"/>
              <w:bottom w:val="single" w:color="auto" w:sz="4" w:space="0"/>
              <w:right w:val="single" w:color="auto" w:sz="4" w:space="0"/>
            </w:tcBorders>
            <w:vAlign w:val="center"/>
          </w:tcPr>
          <w:p w14:paraId="3E495307">
            <w:pPr>
              <w:tabs>
                <w:tab w:val="left" w:pos="480"/>
              </w:tabs>
              <w:spacing w:line="360" w:lineRule="auto"/>
              <w:jc w:val="center"/>
              <w:rPr>
                <w:rFonts w:ascii="宋体" w:hAnsi="宋体" w:cs="宋体"/>
                <w:color w:val="auto"/>
                <w:szCs w:val="21"/>
                <w:highlight w:val="none"/>
              </w:rPr>
            </w:pPr>
          </w:p>
        </w:tc>
        <w:tc>
          <w:tcPr>
            <w:tcW w:w="1073" w:type="dxa"/>
            <w:tcBorders>
              <w:top w:val="single" w:color="auto" w:sz="4" w:space="0"/>
              <w:left w:val="single" w:color="auto" w:sz="4" w:space="0"/>
              <w:bottom w:val="single" w:color="auto" w:sz="4" w:space="0"/>
              <w:right w:val="single" w:color="auto" w:sz="4" w:space="0"/>
            </w:tcBorders>
            <w:vAlign w:val="center"/>
          </w:tcPr>
          <w:p w14:paraId="451515C6">
            <w:pPr>
              <w:tabs>
                <w:tab w:val="left" w:pos="480"/>
              </w:tabs>
              <w:spacing w:line="360" w:lineRule="auto"/>
              <w:jc w:val="center"/>
              <w:rPr>
                <w:rFonts w:ascii="宋体" w:hAnsi="宋体" w:cs="宋体"/>
                <w:color w:val="auto"/>
                <w:szCs w:val="21"/>
                <w:highlight w:val="none"/>
              </w:rPr>
            </w:pPr>
          </w:p>
        </w:tc>
        <w:tc>
          <w:tcPr>
            <w:tcW w:w="1233" w:type="dxa"/>
            <w:tcBorders>
              <w:top w:val="single" w:color="auto" w:sz="4" w:space="0"/>
              <w:left w:val="single" w:color="auto" w:sz="4" w:space="0"/>
              <w:bottom w:val="single" w:color="auto" w:sz="4" w:space="0"/>
              <w:right w:val="single" w:color="auto" w:sz="4" w:space="0"/>
            </w:tcBorders>
            <w:vAlign w:val="center"/>
          </w:tcPr>
          <w:p w14:paraId="59E54C61">
            <w:pPr>
              <w:tabs>
                <w:tab w:val="left" w:pos="480"/>
              </w:tabs>
              <w:spacing w:line="360" w:lineRule="auto"/>
              <w:jc w:val="center"/>
              <w:rPr>
                <w:rFonts w:ascii="宋体" w:hAnsi="宋体" w:cs="宋体"/>
                <w:color w:val="auto"/>
                <w:szCs w:val="21"/>
                <w:highlight w:val="none"/>
              </w:rPr>
            </w:pPr>
          </w:p>
        </w:tc>
        <w:tc>
          <w:tcPr>
            <w:tcW w:w="1316" w:type="dxa"/>
            <w:tcBorders>
              <w:top w:val="single" w:color="auto" w:sz="4" w:space="0"/>
              <w:left w:val="single" w:color="auto" w:sz="4" w:space="0"/>
              <w:bottom w:val="single" w:color="auto" w:sz="4" w:space="0"/>
              <w:right w:val="single" w:color="auto" w:sz="4" w:space="0"/>
            </w:tcBorders>
            <w:vAlign w:val="center"/>
          </w:tcPr>
          <w:p w14:paraId="74BF14D8">
            <w:pPr>
              <w:tabs>
                <w:tab w:val="left" w:pos="480"/>
              </w:tabs>
              <w:spacing w:line="360" w:lineRule="auto"/>
              <w:jc w:val="center"/>
              <w:rPr>
                <w:rFonts w:ascii="宋体" w:hAnsi="宋体" w:cs="宋体"/>
                <w:color w:val="auto"/>
                <w:szCs w:val="21"/>
                <w:highlight w:val="none"/>
              </w:rPr>
            </w:pPr>
          </w:p>
        </w:tc>
        <w:tc>
          <w:tcPr>
            <w:tcW w:w="2211" w:type="dxa"/>
            <w:tcBorders>
              <w:top w:val="single" w:color="auto" w:sz="4" w:space="0"/>
              <w:left w:val="single" w:color="auto" w:sz="4" w:space="0"/>
              <w:bottom w:val="single" w:color="auto" w:sz="4" w:space="0"/>
              <w:right w:val="single" w:color="auto" w:sz="4" w:space="0"/>
            </w:tcBorders>
            <w:vAlign w:val="center"/>
          </w:tcPr>
          <w:p w14:paraId="18EC7CB5">
            <w:pPr>
              <w:tabs>
                <w:tab w:val="left" w:pos="480"/>
              </w:tabs>
              <w:spacing w:line="360" w:lineRule="auto"/>
              <w:jc w:val="center"/>
              <w:rPr>
                <w:rFonts w:ascii="宋体" w:hAnsi="宋体" w:cs="宋体"/>
                <w:color w:val="auto"/>
                <w:szCs w:val="21"/>
                <w:highlight w:val="none"/>
              </w:rPr>
            </w:pPr>
          </w:p>
        </w:tc>
      </w:tr>
      <w:tr w14:paraId="3BC75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center"/>
          </w:tcPr>
          <w:p w14:paraId="20365AC5">
            <w:pPr>
              <w:tabs>
                <w:tab w:val="left" w:pos="480"/>
              </w:tabs>
              <w:spacing w:line="360" w:lineRule="auto"/>
              <w:jc w:val="center"/>
              <w:rPr>
                <w:rFonts w:ascii="宋体" w:hAnsi="宋体" w:cs="宋体"/>
                <w:color w:val="auto"/>
                <w:szCs w:val="21"/>
                <w:highlight w:val="none"/>
              </w:rPr>
            </w:pPr>
            <w:r>
              <w:rPr>
                <w:rFonts w:hint="eastAsia" w:ascii="宋体" w:hAnsi="宋体" w:cs="宋体"/>
                <w:color w:val="auto"/>
                <w:szCs w:val="21"/>
                <w:highlight w:val="none"/>
              </w:rPr>
              <w:t>……</w:t>
            </w:r>
          </w:p>
        </w:tc>
        <w:tc>
          <w:tcPr>
            <w:tcW w:w="1634" w:type="dxa"/>
            <w:tcBorders>
              <w:top w:val="single" w:color="auto" w:sz="4" w:space="0"/>
              <w:left w:val="single" w:color="auto" w:sz="4" w:space="0"/>
              <w:bottom w:val="single" w:color="auto" w:sz="4" w:space="0"/>
              <w:right w:val="single" w:color="auto" w:sz="4" w:space="0"/>
            </w:tcBorders>
            <w:vAlign w:val="center"/>
          </w:tcPr>
          <w:p w14:paraId="05F5CE1E">
            <w:pPr>
              <w:tabs>
                <w:tab w:val="left" w:pos="480"/>
              </w:tabs>
              <w:spacing w:line="360" w:lineRule="auto"/>
              <w:jc w:val="center"/>
              <w:rPr>
                <w:rFonts w:ascii="宋体" w:hAnsi="宋体" w:cs="宋体"/>
                <w:color w:val="auto"/>
                <w:szCs w:val="21"/>
                <w:highlight w:val="none"/>
              </w:rPr>
            </w:pPr>
          </w:p>
        </w:tc>
        <w:tc>
          <w:tcPr>
            <w:tcW w:w="1073" w:type="dxa"/>
            <w:tcBorders>
              <w:top w:val="single" w:color="auto" w:sz="4" w:space="0"/>
              <w:left w:val="single" w:color="auto" w:sz="4" w:space="0"/>
              <w:bottom w:val="single" w:color="auto" w:sz="4" w:space="0"/>
              <w:right w:val="single" w:color="auto" w:sz="4" w:space="0"/>
            </w:tcBorders>
            <w:vAlign w:val="center"/>
          </w:tcPr>
          <w:p w14:paraId="01C22166">
            <w:pPr>
              <w:tabs>
                <w:tab w:val="left" w:pos="480"/>
              </w:tabs>
              <w:spacing w:line="360" w:lineRule="auto"/>
              <w:jc w:val="center"/>
              <w:rPr>
                <w:rFonts w:ascii="宋体" w:hAnsi="宋体" w:cs="宋体"/>
                <w:color w:val="auto"/>
                <w:szCs w:val="21"/>
                <w:highlight w:val="none"/>
              </w:rPr>
            </w:pPr>
          </w:p>
        </w:tc>
        <w:tc>
          <w:tcPr>
            <w:tcW w:w="1233" w:type="dxa"/>
            <w:tcBorders>
              <w:top w:val="single" w:color="auto" w:sz="4" w:space="0"/>
              <w:left w:val="single" w:color="auto" w:sz="4" w:space="0"/>
              <w:bottom w:val="single" w:color="auto" w:sz="4" w:space="0"/>
              <w:right w:val="single" w:color="auto" w:sz="4" w:space="0"/>
            </w:tcBorders>
            <w:vAlign w:val="center"/>
          </w:tcPr>
          <w:p w14:paraId="08E5397E">
            <w:pPr>
              <w:tabs>
                <w:tab w:val="left" w:pos="480"/>
              </w:tabs>
              <w:spacing w:line="360" w:lineRule="auto"/>
              <w:jc w:val="center"/>
              <w:rPr>
                <w:rFonts w:ascii="宋体" w:hAnsi="宋体" w:cs="宋体"/>
                <w:color w:val="auto"/>
                <w:szCs w:val="21"/>
                <w:highlight w:val="none"/>
              </w:rPr>
            </w:pPr>
          </w:p>
        </w:tc>
        <w:tc>
          <w:tcPr>
            <w:tcW w:w="1316" w:type="dxa"/>
            <w:tcBorders>
              <w:top w:val="single" w:color="auto" w:sz="4" w:space="0"/>
              <w:left w:val="single" w:color="auto" w:sz="4" w:space="0"/>
              <w:bottom w:val="single" w:color="auto" w:sz="4" w:space="0"/>
              <w:right w:val="single" w:color="auto" w:sz="4" w:space="0"/>
            </w:tcBorders>
            <w:vAlign w:val="center"/>
          </w:tcPr>
          <w:p w14:paraId="0ABFAD40">
            <w:pPr>
              <w:tabs>
                <w:tab w:val="left" w:pos="480"/>
              </w:tabs>
              <w:spacing w:line="360" w:lineRule="auto"/>
              <w:jc w:val="center"/>
              <w:rPr>
                <w:rFonts w:ascii="宋体" w:hAnsi="宋体" w:cs="宋体"/>
                <w:color w:val="auto"/>
                <w:szCs w:val="21"/>
                <w:highlight w:val="none"/>
              </w:rPr>
            </w:pPr>
          </w:p>
        </w:tc>
        <w:tc>
          <w:tcPr>
            <w:tcW w:w="2211" w:type="dxa"/>
            <w:tcBorders>
              <w:top w:val="single" w:color="auto" w:sz="4" w:space="0"/>
              <w:left w:val="single" w:color="auto" w:sz="4" w:space="0"/>
              <w:bottom w:val="single" w:color="auto" w:sz="4" w:space="0"/>
              <w:right w:val="single" w:color="auto" w:sz="4" w:space="0"/>
            </w:tcBorders>
            <w:vAlign w:val="center"/>
          </w:tcPr>
          <w:p w14:paraId="52EF9990">
            <w:pPr>
              <w:tabs>
                <w:tab w:val="left" w:pos="480"/>
              </w:tabs>
              <w:spacing w:line="360" w:lineRule="auto"/>
              <w:jc w:val="center"/>
              <w:rPr>
                <w:rFonts w:ascii="宋体" w:hAnsi="宋体" w:cs="宋体"/>
                <w:color w:val="auto"/>
                <w:szCs w:val="21"/>
                <w:highlight w:val="none"/>
              </w:rPr>
            </w:pPr>
          </w:p>
        </w:tc>
      </w:tr>
      <w:tr w14:paraId="69CD9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center"/>
          </w:tcPr>
          <w:p w14:paraId="568E190B">
            <w:pPr>
              <w:tabs>
                <w:tab w:val="left" w:pos="480"/>
              </w:tabs>
              <w:spacing w:line="360" w:lineRule="auto"/>
              <w:jc w:val="center"/>
              <w:rPr>
                <w:rFonts w:ascii="宋体" w:hAnsi="宋体" w:cs="宋体"/>
                <w:color w:val="auto"/>
                <w:szCs w:val="21"/>
                <w:highlight w:val="none"/>
              </w:rPr>
            </w:pPr>
            <w:r>
              <w:rPr>
                <w:rFonts w:hint="eastAsia" w:ascii="宋体" w:hAnsi="宋体" w:cs="宋体"/>
                <w:color w:val="auto"/>
                <w:szCs w:val="21"/>
                <w:highlight w:val="none"/>
              </w:rPr>
              <w:t>说明</w:t>
            </w:r>
          </w:p>
        </w:tc>
        <w:tc>
          <w:tcPr>
            <w:tcW w:w="7467" w:type="dxa"/>
            <w:gridSpan w:val="5"/>
            <w:tcBorders>
              <w:top w:val="single" w:color="auto" w:sz="4" w:space="0"/>
              <w:left w:val="single" w:color="auto" w:sz="4" w:space="0"/>
              <w:bottom w:val="single" w:color="auto" w:sz="4" w:space="0"/>
              <w:right w:val="single" w:color="auto" w:sz="4" w:space="0"/>
            </w:tcBorders>
            <w:vAlign w:val="center"/>
          </w:tcPr>
          <w:p w14:paraId="5C5B3FEB">
            <w:pPr>
              <w:tabs>
                <w:tab w:val="left" w:pos="480"/>
              </w:tabs>
              <w:spacing w:line="360" w:lineRule="auto"/>
              <w:jc w:val="center"/>
              <w:rPr>
                <w:rFonts w:ascii="宋体" w:hAnsi="宋体" w:cs="宋体"/>
                <w:color w:val="auto"/>
                <w:szCs w:val="21"/>
                <w:highlight w:val="none"/>
              </w:rPr>
            </w:pPr>
          </w:p>
        </w:tc>
      </w:tr>
    </w:tbl>
    <w:p w14:paraId="0FAE405C">
      <w:pPr>
        <w:tabs>
          <w:tab w:val="left" w:pos="480"/>
        </w:tabs>
        <w:spacing w:line="360" w:lineRule="auto"/>
        <w:ind w:firstLine="413" w:firstLineChars="196"/>
        <w:rPr>
          <w:rFonts w:ascii="宋体" w:hAnsi="宋体" w:cs="宋体"/>
          <w:b/>
          <w:color w:val="auto"/>
          <w:szCs w:val="21"/>
          <w:highlight w:val="none"/>
        </w:rPr>
      </w:pPr>
      <w:r>
        <w:rPr>
          <w:rFonts w:hint="eastAsia" w:ascii="宋体" w:hAnsi="宋体" w:cs="宋体"/>
          <w:b/>
          <w:color w:val="auto"/>
          <w:szCs w:val="21"/>
          <w:highlight w:val="none"/>
        </w:rPr>
        <w:t>二、合同价款</w:t>
      </w:r>
    </w:p>
    <w:p w14:paraId="71D2644D">
      <w:pPr>
        <w:tabs>
          <w:tab w:val="left" w:pos="480"/>
        </w:tabs>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（一）合同总价款为人民币（大写）</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元整（¥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元）。</w:t>
      </w:r>
    </w:p>
    <w:p w14:paraId="40302437">
      <w:pPr>
        <w:tabs>
          <w:tab w:val="left" w:pos="480"/>
        </w:tabs>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（二）合同总价包括：完成本次采购货物（设备本体及附件、备品备件及专用工具）的供货、运输、安装（包含所需的配件及辅材等）、调试、验收、售后服务及税金等一切费用。</w:t>
      </w:r>
    </w:p>
    <w:p w14:paraId="768D2D3F">
      <w:pPr>
        <w:tabs>
          <w:tab w:val="left" w:pos="480"/>
        </w:tabs>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（三）合同总价一次性包死，不受市场价格变化因素的影响。</w:t>
      </w:r>
    </w:p>
    <w:p w14:paraId="15FF5384">
      <w:pPr>
        <w:tabs>
          <w:tab w:val="left" w:pos="480"/>
        </w:tabs>
        <w:spacing w:line="360" w:lineRule="auto"/>
        <w:ind w:firstLine="413" w:firstLineChars="196"/>
        <w:rPr>
          <w:rFonts w:ascii="宋体" w:hAnsi="宋体" w:cs="宋体"/>
          <w:b/>
          <w:color w:val="auto"/>
          <w:szCs w:val="21"/>
          <w:highlight w:val="none"/>
        </w:rPr>
      </w:pPr>
      <w:r>
        <w:rPr>
          <w:rFonts w:hint="eastAsia" w:ascii="宋体" w:hAnsi="宋体" w:cs="宋体"/>
          <w:b/>
          <w:color w:val="auto"/>
          <w:szCs w:val="21"/>
          <w:highlight w:val="none"/>
        </w:rPr>
        <w:t>三、款项结算</w:t>
      </w:r>
    </w:p>
    <w:p w14:paraId="4B0C15BA">
      <w:pPr>
        <w:tabs>
          <w:tab w:val="left" w:pos="480"/>
        </w:tabs>
        <w:spacing w:line="360" w:lineRule="auto"/>
        <w:ind w:firstLine="630" w:firstLineChars="300"/>
        <w:rPr>
          <w:rFonts w:ascii="宋体" w:hAnsi="宋体" w:cs="宋体"/>
          <w:bCs/>
          <w:color w:val="auto"/>
          <w:szCs w:val="21"/>
          <w:highlight w:val="none"/>
          <w:u w:val="single"/>
        </w:rPr>
      </w:pPr>
      <w:r>
        <w:rPr>
          <w:rFonts w:hint="eastAsia" w:ascii="宋体" w:hAnsi="宋体" w:cs="宋体"/>
          <w:bCs/>
          <w:color w:val="auto"/>
          <w:szCs w:val="21"/>
          <w:highlight w:val="none"/>
          <w:u w:val="single"/>
          <w:lang w:val="en-US" w:eastAsia="zh-CN"/>
        </w:rPr>
        <w:t xml:space="preserve">  1、磋商文件规定的付款方式 </w:t>
      </w:r>
    </w:p>
    <w:p w14:paraId="67E92A18">
      <w:pPr>
        <w:tabs>
          <w:tab w:val="left" w:pos="480"/>
        </w:tabs>
        <w:spacing w:line="360" w:lineRule="auto"/>
        <w:ind w:firstLine="413" w:firstLineChars="196"/>
        <w:rPr>
          <w:rFonts w:ascii="宋体" w:hAnsi="宋体" w:cs="宋体"/>
          <w:b/>
          <w:color w:val="auto"/>
          <w:szCs w:val="21"/>
          <w:highlight w:val="none"/>
        </w:rPr>
      </w:pPr>
      <w:r>
        <w:rPr>
          <w:rFonts w:hint="eastAsia" w:ascii="宋体" w:hAnsi="宋体" w:cs="宋体"/>
          <w:b/>
          <w:color w:val="auto"/>
          <w:szCs w:val="21"/>
          <w:highlight w:val="none"/>
        </w:rPr>
        <w:t>四、保密条款及知识产权</w:t>
      </w:r>
    </w:p>
    <w:p w14:paraId="6FD95951">
      <w:pPr>
        <w:pStyle w:val="9"/>
        <w:spacing w:beforeLines="0" w:afterLines="0"/>
        <w:ind w:firstLine="420"/>
        <w:rPr>
          <w:rFonts w:ascii="宋体" w:hAnsi="宋体"/>
          <w:color w:val="auto"/>
          <w:sz w:val="21"/>
          <w:szCs w:val="21"/>
          <w:highlight w:val="none"/>
        </w:rPr>
      </w:pPr>
      <w:r>
        <w:rPr>
          <w:rFonts w:hint="eastAsia" w:ascii="宋体" w:hAnsi="宋体"/>
          <w:color w:val="auto"/>
          <w:sz w:val="21"/>
          <w:szCs w:val="21"/>
          <w:highlight w:val="none"/>
        </w:rPr>
        <w:t>（一）乙方保证对从甲方取得的非公开及涉密信息（技术信息、政策信息及其他涉密信息）予以保密。未经甲方书面同意，不得向任何第三方泄露该涉密信息的全部或部分内容。</w:t>
      </w:r>
    </w:p>
    <w:p w14:paraId="553379F4">
      <w:pPr>
        <w:tabs>
          <w:tab w:val="left" w:pos="480"/>
        </w:tabs>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二）乙方保证，甲方在使用乙方所提供的服务时免受第三方提出的侵犯其专利权或其它知识产权的起诉；如因侵权引起的任何法律责任以及给甲方带来的所有损失（包括但不限于甲方向第三人支付的赔偿、甲方律师费、差旅费、鉴定公证费、甲方人员误工费等）由乙方承担。</w:t>
      </w:r>
    </w:p>
    <w:p w14:paraId="3B63BD39">
      <w:pPr>
        <w:pStyle w:val="2"/>
        <w:rPr>
          <w:color w:val="auto"/>
          <w:highlight w:val="none"/>
        </w:rPr>
      </w:pPr>
      <w:r>
        <w:rPr>
          <w:rFonts w:hint="eastAsia" w:ascii="宋体" w:hAnsi="宋体" w:cs="宋体"/>
          <w:color w:val="auto"/>
          <w:sz w:val="21"/>
          <w:szCs w:val="21"/>
          <w:highlight w:val="none"/>
        </w:rPr>
        <w:t>（三）设备购入后，所产生的科研成果归甲方单独所有。</w:t>
      </w:r>
    </w:p>
    <w:p w14:paraId="4DCF1D97">
      <w:pPr>
        <w:tabs>
          <w:tab w:val="left" w:pos="480"/>
        </w:tabs>
        <w:spacing w:line="360" w:lineRule="auto"/>
        <w:ind w:firstLine="413" w:firstLineChars="196"/>
        <w:rPr>
          <w:rFonts w:ascii="宋体" w:hAnsi="宋体" w:cs="宋体"/>
          <w:b/>
          <w:color w:val="auto"/>
          <w:szCs w:val="21"/>
          <w:highlight w:val="none"/>
        </w:rPr>
      </w:pPr>
      <w:r>
        <w:rPr>
          <w:rFonts w:hint="eastAsia" w:ascii="宋体" w:hAnsi="宋体" w:cs="宋体"/>
          <w:b/>
          <w:color w:val="auto"/>
          <w:szCs w:val="21"/>
          <w:highlight w:val="none"/>
        </w:rPr>
        <w:t>五、双方的权利和义务</w:t>
      </w:r>
    </w:p>
    <w:p w14:paraId="53910C87">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（一）甲方的权利和义务</w:t>
      </w:r>
    </w:p>
    <w:p w14:paraId="6732FCC8">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 xml:space="preserve">    甲方权利：组织使用单位严格按照招标文件及投标文件要求和标准验收货物。</w:t>
      </w:r>
    </w:p>
    <w:p w14:paraId="5BE0579A">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 xml:space="preserve">    甲方义务：积极配合乙方验收、安装、调试工作。</w:t>
      </w:r>
    </w:p>
    <w:p w14:paraId="58CF91C4">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（二）乙方的权利和义务</w:t>
      </w:r>
    </w:p>
    <w:p w14:paraId="51437723">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 xml:space="preserve">    乙方权利：按照合同约定要求甲方及时付款。</w:t>
      </w:r>
    </w:p>
    <w:p w14:paraId="0ADF50B9">
      <w:pPr>
        <w:tabs>
          <w:tab w:val="left" w:pos="480"/>
        </w:tabs>
        <w:spacing w:line="360" w:lineRule="auto"/>
        <w:ind w:firstLine="420" w:firstLineChars="200"/>
        <w:rPr>
          <w:color w:val="auto"/>
          <w:highlight w:val="none"/>
        </w:rPr>
      </w:pPr>
      <w:r>
        <w:rPr>
          <w:rFonts w:hint="eastAsia" w:ascii="宋体" w:hAnsi="宋体" w:cs="宋体"/>
          <w:bCs/>
          <w:color w:val="auto"/>
          <w:szCs w:val="21"/>
          <w:highlight w:val="none"/>
        </w:rPr>
        <w:t xml:space="preserve">    乙方义务：按照合同约定时间，按甲方指定地点提供货物，配合验收工作。                  </w:t>
      </w:r>
    </w:p>
    <w:p w14:paraId="798B5D75">
      <w:pPr>
        <w:tabs>
          <w:tab w:val="left" w:pos="480"/>
        </w:tabs>
        <w:spacing w:line="360" w:lineRule="auto"/>
        <w:ind w:firstLine="413" w:firstLineChars="196"/>
        <w:rPr>
          <w:rFonts w:ascii="宋体" w:hAnsi="宋体" w:cs="宋体"/>
          <w:b/>
          <w:color w:val="auto"/>
          <w:szCs w:val="21"/>
          <w:highlight w:val="none"/>
        </w:rPr>
      </w:pPr>
      <w:r>
        <w:rPr>
          <w:rFonts w:hint="eastAsia" w:ascii="宋体" w:hAnsi="宋体" w:cs="宋体"/>
          <w:b/>
          <w:color w:val="auto"/>
          <w:szCs w:val="21"/>
          <w:highlight w:val="none"/>
        </w:rPr>
        <w:t>六、交货条件：</w:t>
      </w:r>
    </w:p>
    <w:p w14:paraId="3B32A941">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（一）交货地点：</w:t>
      </w:r>
    </w:p>
    <w:p w14:paraId="31B0157F">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（二）交货期：</w:t>
      </w:r>
    </w:p>
    <w:p w14:paraId="27019C55">
      <w:pPr>
        <w:tabs>
          <w:tab w:val="left" w:pos="480"/>
        </w:tabs>
        <w:spacing w:line="360" w:lineRule="auto"/>
        <w:ind w:firstLine="413" w:firstLineChars="196"/>
        <w:rPr>
          <w:rFonts w:ascii="宋体" w:hAnsi="宋体" w:cs="宋体"/>
          <w:b/>
          <w:color w:val="auto"/>
          <w:szCs w:val="21"/>
          <w:highlight w:val="none"/>
        </w:rPr>
      </w:pPr>
      <w:r>
        <w:rPr>
          <w:rFonts w:hint="eastAsia" w:ascii="宋体" w:hAnsi="宋体" w:cs="宋体"/>
          <w:b/>
          <w:color w:val="auto"/>
          <w:szCs w:val="21"/>
          <w:highlight w:val="none"/>
        </w:rPr>
        <w:t>七、运输</w:t>
      </w:r>
    </w:p>
    <w:p w14:paraId="0FA3C2B2">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（一）运输由乙方负责，运杂费已包含在合同总价内，包括从货物供应地点所含的运输费、装卸费、仓储费、保险费等。</w:t>
      </w:r>
    </w:p>
    <w:p w14:paraId="73398824">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（二）运输方式由乙方自行选择，但必须保证按期交货。</w:t>
      </w:r>
    </w:p>
    <w:p w14:paraId="688AA91C">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三）涉及的商品包装和快递包装，均应符合《商品包装政府采购需求标准（试行）》《快递包装政府采购需求标准（试行）》的要求，包装应适应于远距离运输、防潮、防震、防锈和防野蛮装卸，以确保货物安全无损运抵指定地点。在运输过程中货物、设备的全部风险由乙方承担。</w:t>
      </w:r>
    </w:p>
    <w:p w14:paraId="7809E4B7">
      <w:pPr>
        <w:tabs>
          <w:tab w:val="left" w:pos="480"/>
        </w:tabs>
        <w:spacing w:line="360" w:lineRule="auto"/>
        <w:ind w:firstLine="413" w:firstLineChars="196"/>
        <w:rPr>
          <w:rFonts w:ascii="宋体" w:hAnsi="宋体" w:cs="宋体"/>
          <w:b/>
          <w:color w:val="auto"/>
          <w:szCs w:val="21"/>
          <w:highlight w:val="none"/>
        </w:rPr>
      </w:pPr>
      <w:r>
        <w:rPr>
          <w:rFonts w:hint="eastAsia" w:ascii="宋体" w:hAnsi="宋体" w:cs="宋体"/>
          <w:b/>
          <w:color w:val="auto"/>
          <w:szCs w:val="21"/>
          <w:highlight w:val="none"/>
        </w:rPr>
        <w:t>八、质量保证</w:t>
      </w:r>
    </w:p>
    <w:p w14:paraId="27E2BFCF">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乙方所供货物必须执行下列条款：</w:t>
      </w:r>
    </w:p>
    <w:p w14:paraId="0165B5B6">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（一）设备到位后，工程师应立即进行安装、调试，同时对操作人员进行严格的规范化培训，使甲方人员能够熟练操作设备。</w:t>
      </w:r>
    </w:p>
    <w:p w14:paraId="1E90F0E6">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（二）保证技术指标先进、质量性能可靠、进货渠道正常，配置合理，全面满足招标要求。</w:t>
      </w:r>
    </w:p>
    <w:p w14:paraId="05E528DB">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（三）符合国家有关规范要求，确保达到最佳运行状态。</w:t>
      </w:r>
    </w:p>
    <w:p w14:paraId="4973D35D">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（四）具有良好的外观，适合安装场所的使用。</w:t>
      </w:r>
    </w:p>
    <w:p w14:paraId="30A088C9">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（五）自安装、调试正常运行并验收合格之日起：</w:t>
      </w:r>
    </w:p>
    <w:p w14:paraId="756C896B">
      <w:pPr>
        <w:tabs>
          <w:tab w:val="left" w:pos="480"/>
        </w:tabs>
        <w:spacing w:line="360" w:lineRule="auto"/>
        <w:ind w:firstLine="420" w:firstLineChars="200"/>
        <w:rPr>
          <w:rFonts w:hint="eastAsia" w:ascii="宋体" w:hAnsi="宋体" w:cs="宋体"/>
          <w:bCs/>
          <w:color w:val="auto"/>
          <w:szCs w:val="21"/>
          <w:highlight w:val="none"/>
        </w:rPr>
      </w:pPr>
      <w:r>
        <w:rPr>
          <w:rFonts w:hint="eastAsia" w:ascii="宋体" w:hAnsi="宋体" w:cs="宋体"/>
          <w:bCs/>
          <w:color w:val="auto"/>
          <w:szCs w:val="21"/>
          <w:highlight w:val="none"/>
        </w:rPr>
        <w:t>1.验收合格之日起三年,中标人承诺的质保时间超过磋商文件要求的，按其承诺时间质保。</w:t>
      </w:r>
    </w:p>
    <w:p w14:paraId="4F85A084">
      <w:pPr>
        <w:tabs>
          <w:tab w:val="left" w:pos="480"/>
        </w:tabs>
        <w:spacing w:line="360" w:lineRule="auto"/>
        <w:ind w:firstLine="420" w:firstLineChars="200"/>
        <w:rPr>
          <w:rFonts w:hint="eastAsia" w:ascii="宋体" w:hAnsi="宋体" w:cs="宋体"/>
          <w:bCs/>
          <w:color w:val="auto"/>
          <w:szCs w:val="21"/>
          <w:highlight w:val="none"/>
        </w:rPr>
      </w:pPr>
      <w:r>
        <w:rPr>
          <w:rFonts w:hint="eastAsia" w:ascii="宋体" w:hAnsi="宋体" w:cs="宋体"/>
          <w:bCs/>
          <w:color w:val="auto"/>
          <w:szCs w:val="21"/>
          <w:highlight w:val="none"/>
        </w:rPr>
        <w:t>2、质保期起始时间为终验合格之日。</w:t>
      </w:r>
    </w:p>
    <w:p w14:paraId="6C8E768C">
      <w:pPr>
        <w:tabs>
          <w:tab w:val="left" w:pos="480"/>
        </w:tabs>
        <w:spacing w:line="360" w:lineRule="auto"/>
        <w:ind w:firstLine="420" w:firstLineChars="200"/>
        <w:rPr>
          <w:rFonts w:hint="eastAsia" w:ascii="宋体" w:hAnsi="宋体" w:cs="宋体"/>
          <w:bCs/>
          <w:color w:val="auto"/>
          <w:szCs w:val="21"/>
          <w:highlight w:val="none"/>
        </w:rPr>
      </w:pPr>
      <w:r>
        <w:rPr>
          <w:rFonts w:hint="eastAsia" w:ascii="宋体" w:hAnsi="宋体" w:cs="宋体"/>
          <w:bCs/>
          <w:color w:val="auto"/>
          <w:szCs w:val="21"/>
          <w:highlight w:val="none"/>
        </w:rPr>
        <w:t>3、所有产品质量必须符合国家有关规范和相关政策。所有货物及辅材必须是未使用过的新产品，质量优良、渠道正当，配置合理。中标人应遵照国家规范规定的设备质量标准及要求作出明确承诺。</w:t>
      </w:r>
    </w:p>
    <w:p w14:paraId="46B5B58E">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4、质保期内出现的质量问题由成交人负责解决并承担所有费用。超出质保期中标人只收取维修所需原产品、材料成本费用，软件免费更新。</w:t>
      </w:r>
    </w:p>
    <w:p w14:paraId="38E71BBC">
      <w:pPr>
        <w:tabs>
          <w:tab w:val="left" w:pos="480"/>
        </w:tabs>
        <w:spacing w:line="360" w:lineRule="auto"/>
        <w:ind w:firstLine="413" w:firstLineChars="196"/>
        <w:rPr>
          <w:rFonts w:ascii="宋体" w:hAnsi="宋体" w:cs="宋体"/>
          <w:b/>
          <w:color w:val="auto"/>
          <w:szCs w:val="21"/>
          <w:highlight w:val="none"/>
        </w:rPr>
      </w:pPr>
      <w:r>
        <w:rPr>
          <w:rFonts w:hint="eastAsia" w:ascii="宋体" w:hAnsi="宋体" w:cs="宋体"/>
          <w:b/>
          <w:color w:val="auto"/>
          <w:szCs w:val="21"/>
          <w:highlight w:val="none"/>
        </w:rPr>
        <w:t>九、售后服务</w:t>
      </w:r>
    </w:p>
    <w:p w14:paraId="6A08C8D4">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乙方所供货物提供以下售后服务：</w:t>
      </w:r>
    </w:p>
    <w:p w14:paraId="0DA81A81">
      <w:pPr>
        <w:numPr>
          <w:ilvl w:val="0"/>
          <w:numId w:val="1"/>
        </w:numPr>
        <w:tabs>
          <w:tab w:val="left" w:pos="480"/>
        </w:tabs>
        <w:spacing w:line="360" w:lineRule="auto"/>
        <w:ind w:firstLine="420" w:firstLineChars="200"/>
        <w:rPr>
          <w:rFonts w:hint="eastAsia" w:ascii="宋体" w:hAnsi="宋体" w:cs="宋体"/>
          <w:bCs/>
          <w:color w:val="auto"/>
          <w:szCs w:val="21"/>
          <w:highlight w:val="none"/>
          <w:lang w:val="en-US" w:eastAsia="zh-CN"/>
        </w:rPr>
      </w:pPr>
      <w:r>
        <w:rPr>
          <w:rFonts w:hint="eastAsia" w:ascii="宋体" w:hAnsi="宋体" w:cs="宋体"/>
          <w:bCs/>
          <w:color w:val="auto"/>
          <w:szCs w:val="21"/>
          <w:highlight w:val="none"/>
          <w:lang w:val="en-US" w:eastAsia="zh-CN"/>
        </w:rPr>
        <w:t>质保期：验收合格之日起</w:t>
      </w:r>
      <w:r>
        <w:rPr>
          <w:rFonts w:hint="eastAsia" w:ascii="宋体" w:hAnsi="宋体" w:cs="宋体"/>
          <w:bCs/>
          <w:color w:val="auto"/>
          <w:szCs w:val="21"/>
          <w:highlight w:val="none"/>
          <w:u w:val="single"/>
          <w:lang w:val="en-US" w:eastAsia="zh-CN"/>
        </w:rPr>
        <w:t xml:space="preserve">       </w:t>
      </w:r>
      <w:r>
        <w:rPr>
          <w:rFonts w:hint="eastAsia" w:ascii="宋体" w:hAnsi="宋体" w:cs="宋体"/>
          <w:bCs/>
          <w:color w:val="auto"/>
          <w:szCs w:val="21"/>
          <w:highlight w:val="none"/>
          <w:lang w:val="en-US" w:eastAsia="zh-CN"/>
        </w:rPr>
        <w:t>年，质保期起始时间为终验合格之日。</w:t>
      </w:r>
    </w:p>
    <w:p w14:paraId="20748523">
      <w:pPr>
        <w:tabs>
          <w:tab w:val="left" w:pos="480"/>
        </w:tabs>
        <w:spacing w:line="360" w:lineRule="auto"/>
        <w:ind w:firstLine="420" w:firstLineChars="200"/>
        <w:rPr>
          <w:rFonts w:hint="eastAsia" w:ascii="宋体" w:hAnsi="宋体" w:cs="宋体"/>
          <w:bCs/>
          <w:color w:val="auto"/>
          <w:szCs w:val="21"/>
          <w:highlight w:val="none"/>
          <w:lang w:val="en-US" w:eastAsia="zh-CN"/>
        </w:rPr>
      </w:pPr>
      <w:r>
        <w:rPr>
          <w:rFonts w:hint="eastAsia" w:ascii="宋体" w:hAnsi="宋体" w:cs="宋体"/>
          <w:bCs/>
          <w:color w:val="auto"/>
          <w:szCs w:val="21"/>
          <w:highlight w:val="none"/>
          <w:lang w:val="en-US" w:eastAsia="zh-CN"/>
        </w:rPr>
        <w:t>1、所有产品质量必须符合国家有关规范和相关政策。所有货物及辅材必须是未使用过的新产品，质量优良、渠道正当，配置合理。</w:t>
      </w:r>
    </w:p>
    <w:p w14:paraId="6EB18346">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lang w:val="en-US" w:eastAsia="zh-CN"/>
        </w:rPr>
        <w:t>2、质保期内出现的质量问题由成交人负责解决并承担所有费用，质保期内软件免费更新。超出质保期中标人只收取维修所需原产品、材料成本费用。</w:t>
      </w:r>
    </w:p>
    <w:p w14:paraId="406C4B15">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lang w:val="en-US" w:eastAsia="zh-CN"/>
        </w:rPr>
        <w:t>其他</w:t>
      </w:r>
      <w:r>
        <w:rPr>
          <w:rFonts w:hint="eastAsia" w:ascii="宋体" w:hAnsi="宋体" w:cs="宋体"/>
          <w:bCs/>
          <w:color w:val="auto"/>
          <w:szCs w:val="21"/>
          <w:highlight w:val="none"/>
          <w:lang w:eastAsia="zh-CN"/>
        </w:rPr>
        <w:t>：</w:t>
      </w:r>
      <w:r>
        <w:rPr>
          <w:rFonts w:hint="eastAsia" w:ascii="宋体" w:hAnsi="宋体" w:cs="宋体"/>
          <w:bCs/>
          <w:color w:val="auto"/>
          <w:szCs w:val="21"/>
          <w:highlight w:val="none"/>
        </w:rPr>
        <w:t>供货商应告知采购人产品的使用、维护、保养等有关注意事项，并根据招</w:t>
      </w:r>
      <w:r>
        <w:rPr>
          <w:rFonts w:hint="eastAsia" w:ascii="宋体" w:hAnsi="宋体" w:cs="宋体"/>
          <w:bCs/>
          <w:color w:val="auto"/>
          <w:szCs w:val="21"/>
          <w:highlight w:val="none"/>
          <w:lang w:val="en-US" w:eastAsia="zh-CN"/>
        </w:rPr>
        <w:t>响应</w:t>
      </w:r>
      <w:r>
        <w:rPr>
          <w:rFonts w:hint="eastAsia" w:ascii="宋体" w:hAnsi="宋体" w:cs="宋体"/>
          <w:bCs/>
          <w:color w:val="auto"/>
          <w:szCs w:val="21"/>
          <w:highlight w:val="none"/>
        </w:rPr>
        <w:t>文件要求对采购人的人员进行培训</w:t>
      </w:r>
      <w:r>
        <w:rPr>
          <w:rFonts w:hint="eastAsia" w:ascii="宋体" w:hAnsi="宋体" w:cs="宋体"/>
          <w:bCs/>
          <w:color w:val="auto"/>
          <w:szCs w:val="21"/>
          <w:highlight w:val="none"/>
          <w:lang w:eastAsia="zh-CN"/>
        </w:rPr>
        <w:t>，</w:t>
      </w:r>
      <w:r>
        <w:rPr>
          <w:rFonts w:hint="eastAsia" w:ascii="宋体" w:hAnsi="宋体" w:cs="宋体"/>
          <w:bCs/>
          <w:color w:val="auto"/>
          <w:szCs w:val="21"/>
          <w:highlight w:val="none"/>
        </w:rPr>
        <w:t>发生质量问题，接到甲方通知后，应派出专业的维修人员到现场进行检测维修，发生的全部费用由乙方承担，若需送回生产厂，乙方承担往返费用；在产品正常使用寿命内发生的任何产品质量问题，接到报修通知，维修响应时间为</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小时内，</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u w:val="single"/>
          <w:lang w:val="en-US" w:eastAsia="zh-CN"/>
        </w:rPr>
        <w:t xml:space="preserve">   </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小时内到达现场，排除故障的期限不得超过</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小时，甲方有权自行委托第三方进行维修，维修费用由乙方承担，在保修期外，只收取维修配件费和差旅费用，如产生人工费、维修费等其他费用由乙方承担，并且保修期内提供至少</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u w:val="single"/>
          <w:lang w:val="en-US" w:eastAsia="zh-CN"/>
        </w:rPr>
        <w:t xml:space="preserve"> </w:t>
      </w:r>
      <w:bookmarkStart w:id="0" w:name="_GoBack"/>
      <w:bookmarkEnd w:id="0"/>
      <w:r>
        <w:rPr>
          <w:rFonts w:hint="eastAsia" w:ascii="宋体" w:hAnsi="宋体" w:cs="宋体"/>
          <w:bCs/>
          <w:color w:val="auto"/>
          <w:szCs w:val="21"/>
          <w:highlight w:val="none"/>
        </w:rPr>
        <w:t>次工程师保养和检修，</w:t>
      </w:r>
      <w:r>
        <w:rPr>
          <w:rFonts w:hint="eastAsia" w:ascii="宋体" w:hAnsi="宋体" w:cs="Arial"/>
          <w:bCs/>
          <w:color w:val="auto"/>
          <w:szCs w:val="21"/>
          <w:highlight w:val="none"/>
        </w:rPr>
        <w:t>终身维修</w:t>
      </w:r>
      <w:r>
        <w:rPr>
          <w:rFonts w:hint="eastAsia" w:ascii="宋体" w:hAnsi="宋体" w:cs="宋体"/>
          <w:bCs/>
          <w:color w:val="auto"/>
          <w:szCs w:val="21"/>
          <w:highlight w:val="none"/>
        </w:rPr>
        <w:t>。</w:t>
      </w:r>
    </w:p>
    <w:p w14:paraId="45500E0B">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3、定期派技术人员到现场走访，给予检查维护；</w:t>
      </w:r>
    </w:p>
    <w:p w14:paraId="4297338F">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4、如非乙方原因造成的质量问题，乙方有义务根据甲方的要求进行维修或配合维修，如需更换产品或配件，只收取维修配件费和差旅费用，如产生人工费、维修费等其他费用由乙方承担。</w:t>
      </w:r>
    </w:p>
    <w:p w14:paraId="1E58BE9E">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（二）质保期结束前，进行系统测试，全面保养维护，确保正常运行。</w:t>
      </w:r>
    </w:p>
    <w:p w14:paraId="590456C2">
      <w:pPr>
        <w:tabs>
          <w:tab w:val="left" w:pos="480"/>
        </w:tabs>
        <w:spacing w:line="360" w:lineRule="auto"/>
        <w:ind w:firstLine="413" w:firstLineChars="196"/>
        <w:rPr>
          <w:rFonts w:ascii="宋体" w:hAnsi="宋体" w:cs="宋体"/>
          <w:b/>
          <w:color w:val="auto"/>
          <w:szCs w:val="21"/>
          <w:highlight w:val="none"/>
        </w:rPr>
      </w:pPr>
      <w:r>
        <w:rPr>
          <w:rFonts w:hint="eastAsia" w:ascii="宋体" w:hAnsi="宋体" w:cs="宋体"/>
          <w:b/>
          <w:color w:val="auto"/>
          <w:szCs w:val="21"/>
          <w:highlight w:val="none"/>
        </w:rPr>
        <w:t>十、技术与服务</w:t>
      </w:r>
    </w:p>
    <w:p w14:paraId="2D9E7BCA">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（一）技术资料：</w:t>
      </w:r>
    </w:p>
    <w:p w14:paraId="64372051">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1、货物合格证；</w:t>
      </w:r>
    </w:p>
    <w:p w14:paraId="309C7B89">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2、货物使用说明书（中文）；</w:t>
      </w:r>
    </w:p>
    <w:p w14:paraId="08977472">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3、项目峻工资料、检验测试报告；</w:t>
      </w:r>
    </w:p>
    <w:p w14:paraId="2D9DD211">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4、其它资料。</w:t>
      </w:r>
    </w:p>
    <w:p w14:paraId="7C384139">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（二）服务承诺：</w:t>
      </w:r>
    </w:p>
    <w:p w14:paraId="06D070F5">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1、设备（产品）安装、调试和验收：提供设备（产品）现场安装、调试，设备（产品）安装调试在约定时间内完成。安装前，提供安装条件、用水、用电条件说明；</w:t>
      </w:r>
    </w:p>
    <w:p w14:paraId="3A3A1492">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2、培训要求：安装验收后，乙方负责协调厂家在用户所在地对用户进行设备（产品）操作和日常维护的现场培训。包括设备（产品）原理、使用方法和维护方法等；</w:t>
      </w:r>
    </w:p>
    <w:p w14:paraId="2EFC69E5">
      <w:pPr>
        <w:pStyle w:val="8"/>
        <w:ind w:firstLine="420" w:firstLineChars="200"/>
        <w:rPr>
          <w:color w:val="auto"/>
          <w:highlight w:val="none"/>
        </w:rPr>
      </w:pPr>
      <w:r>
        <w:rPr>
          <w:rFonts w:hint="eastAsia" w:ascii="宋体" w:hAnsi="宋体" w:cs="宋体"/>
          <w:bCs/>
          <w:color w:val="auto"/>
          <w:szCs w:val="21"/>
          <w:highlight w:val="none"/>
        </w:rPr>
        <w:t>3、以投标文件、澄清表（函）、合同和随货物的相关文件为准。</w:t>
      </w:r>
    </w:p>
    <w:p w14:paraId="7D2583A8">
      <w:pPr>
        <w:tabs>
          <w:tab w:val="left" w:pos="480"/>
        </w:tabs>
        <w:spacing w:line="360" w:lineRule="auto"/>
        <w:ind w:firstLine="413" w:firstLineChars="196"/>
        <w:rPr>
          <w:rFonts w:ascii="宋体" w:hAnsi="宋体" w:cs="宋体"/>
          <w:b/>
          <w:color w:val="auto"/>
          <w:szCs w:val="21"/>
          <w:highlight w:val="none"/>
        </w:rPr>
      </w:pPr>
      <w:r>
        <w:rPr>
          <w:rFonts w:hint="eastAsia" w:ascii="宋体" w:hAnsi="宋体" w:cs="宋体"/>
          <w:b/>
          <w:color w:val="auto"/>
          <w:szCs w:val="21"/>
          <w:highlight w:val="none"/>
        </w:rPr>
        <w:t>十一、验收</w:t>
      </w:r>
    </w:p>
    <w:p w14:paraId="02417710">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lang w:eastAsia="zh-CN"/>
        </w:rPr>
        <w:t>（</w:t>
      </w:r>
      <w:r>
        <w:rPr>
          <w:rFonts w:hint="eastAsia" w:ascii="宋体" w:hAnsi="宋体" w:cs="宋体"/>
          <w:bCs/>
          <w:color w:val="auto"/>
          <w:szCs w:val="21"/>
          <w:highlight w:val="none"/>
          <w:lang w:val="en-US" w:eastAsia="zh-CN"/>
        </w:rPr>
        <w:t>一</w:t>
      </w:r>
      <w:r>
        <w:rPr>
          <w:rFonts w:hint="eastAsia" w:ascii="宋体" w:hAnsi="宋体" w:cs="宋体"/>
          <w:bCs/>
          <w:color w:val="auto"/>
          <w:szCs w:val="21"/>
          <w:highlight w:val="none"/>
          <w:lang w:eastAsia="zh-CN"/>
        </w:rPr>
        <w:t>）</w:t>
      </w:r>
      <w:r>
        <w:rPr>
          <w:rFonts w:hint="eastAsia" w:ascii="宋体" w:hAnsi="宋体" w:cs="宋体"/>
          <w:bCs/>
          <w:color w:val="auto"/>
          <w:szCs w:val="21"/>
          <w:highlight w:val="none"/>
          <w:u w:val="single"/>
          <w:lang w:val="en-US" w:eastAsia="zh-CN"/>
        </w:rPr>
        <w:t xml:space="preserve">                                                       </w:t>
      </w:r>
      <w:r>
        <w:rPr>
          <w:rFonts w:hint="eastAsia" w:ascii="宋体" w:hAnsi="宋体" w:cs="宋体"/>
          <w:bCs/>
          <w:color w:val="auto"/>
          <w:szCs w:val="21"/>
          <w:highlight w:val="none"/>
        </w:rPr>
        <w:t>。</w:t>
      </w:r>
    </w:p>
    <w:p w14:paraId="6D01AD7C">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w:t>
      </w:r>
      <w:r>
        <w:rPr>
          <w:rFonts w:hint="eastAsia" w:ascii="宋体" w:hAnsi="宋体" w:cs="宋体"/>
          <w:bCs/>
          <w:color w:val="auto"/>
          <w:szCs w:val="21"/>
          <w:highlight w:val="none"/>
          <w:lang w:val="en-US" w:eastAsia="zh-CN"/>
        </w:rPr>
        <w:t>二</w:t>
      </w:r>
      <w:r>
        <w:rPr>
          <w:rFonts w:hint="eastAsia" w:ascii="宋体" w:hAnsi="宋体" w:cs="宋体"/>
          <w:bCs/>
          <w:color w:val="auto"/>
          <w:szCs w:val="21"/>
          <w:highlight w:val="none"/>
        </w:rPr>
        <w:t>）验收依据：</w:t>
      </w:r>
    </w:p>
    <w:p w14:paraId="5C195EE9">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1、招标文件、投标文件、澄清表（函）；</w:t>
      </w:r>
    </w:p>
    <w:p w14:paraId="073A91B6">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2、本合同及附件文本；</w:t>
      </w:r>
    </w:p>
    <w:p w14:paraId="272DD30A">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3、国家相应的标准、规范。</w:t>
      </w:r>
    </w:p>
    <w:p w14:paraId="0273C964">
      <w:pPr>
        <w:tabs>
          <w:tab w:val="left" w:pos="480"/>
        </w:tabs>
        <w:spacing w:line="360" w:lineRule="auto"/>
        <w:ind w:firstLine="413" w:firstLineChars="196"/>
        <w:rPr>
          <w:rFonts w:ascii="宋体" w:hAnsi="宋体" w:cs="宋体"/>
          <w:b/>
          <w:color w:val="auto"/>
          <w:szCs w:val="21"/>
          <w:highlight w:val="none"/>
        </w:rPr>
      </w:pPr>
      <w:r>
        <w:rPr>
          <w:rFonts w:hint="eastAsia" w:ascii="宋体" w:hAnsi="宋体" w:cs="宋体"/>
          <w:b/>
          <w:color w:val="auto"/>
          <w:szCs w:val="21"/>
          <w:highlight w:val="none"/>
        </w:rPr>
        <w:t>十二、违约责任</w:t>
      </w:r>
    </w:p>
    <w:p w14:paraId="072CA10B">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（一）依照《政府采购法》《民法典》中的相关条款执行。</w:t>
      </w:r>
    </w:p>
    <w:p w14:paraId="59B44B3B">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二）未按合同要求提供货物或质量不能满足招标技术要求，乙方必须无条件更换，乙方拒绝更换或更换后仍不能满足招标技术要求或者甲方需求的，甲方有权终止合同，并对乙方的违约行为报监管机构进行相应的处罚，同时乙方应赔偿甲方全部损失。</w:t>
      </w:r>
    </w:p>
    <w:p w14:paraId="429D480F">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（三）交货期每超过一天，扣除乙方合同总价款的</w:t>
      </w:r>
      <w:r>
        <w:rPr>
          <w:rFonts w:hint="eastAsia" w:ascii="宋体" w:hAnsi="宋体" w:cs="宋体"/>
          <w:bCs/>
          <w:color w:val="auto"/>
          <w:szCs w:val="21"/>
          <w:highlight w:val="none"/>
          <w:u w:val="single"/>
          <w:lang w:val="en-US" w:eastAsia="zh-CN"/>
        </w:rPr>
        <w:t xml:space="preserve">   </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w:t>
      </w:r>
    </w:p>
    <w:p w14:paraId="308570BC">
      <w:pPr>
        <w:tabs>
          <w:tab w:val="left" w:pos="480"/>
        </w:tabs>
        <w:spacing w:line="360" w:lineRule="auto"/>
        <w:ind w:firstLine="413" w:firstLineChars="196"/>
        <w:rPr>
          <w:rFonts w:ascii="宋体" w:hAnsi="宋体" w:cs="宋体"/>
          <w:b/>
          <w:color w:val="auto"/>
          <w:szCs w:val="21"/>
          <w:highlight w:val="none"/>
        </w:rPr>
      </w:pPr>
      <w:r>
        <w:rPr>
          <w:rFonts w:hint="eastAsia" w:ascii="宋体" w:hAnsi="宋体" w:cs="宋体"/>
          <w:b/>
          <w:color w:val="auto"/>
          <w:szCs w:val="21"/>
          <w:highlight w:val="none"/>
        </w:rPr>
        <w:t>十三、合同争议解决的方式</w:t>
      </w:r>
    </w:p>
    <w:p w14:paraId="114C9CEF">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本合同在履行过程中发生的争议，由甲、乙双方当事人协商解决，协商不成的按下列第（ 二 ）种方式解决：</w:t>
      </w:r>
    </w:p>
    <w:p w14:paraId="321A7154">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（一）提交</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u w:val="single"/>
          <w:lang w:val="en-US" w:eastAsia="zh-CN"/>
        </w:rPr>
        <w:t>当地</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仲裁委员会仲裁；</w:t>
      </w:r>
    </w:p>
    <w:p w14:paraId="08931CDD">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（二）依法向</w:t>
      </w:r>
      <w:r>
        <w:rPr>
          <w:rFonts w:hint="eastAsia" w:ascii="宋体" w:hAnsi="宋体" w:cs="宋体"/>
          <w:bCs/>
          <w:color w:val="auto"/>
          <w:szCs w:val="21"/>
          <w:highlight w:val="none"/>
          <w:u w:val="single"/>
        </w:rPr>
        <w:t xml:space="preserve">  甲方  </w:t>
      </w:r>
      <w:r>
        <w:rPr>
          <w:rFonts w:hint="eastAsia" w:ascii="宋体" w:hAnsi="宋体" w:cs="宋体"/>
          <w:bCs/>
          <w:color w:val="auto"/>
          <w:szCs w:val="21"/>
          <w:highlight w:val="none"/>
        </w:rPr>
        <w:t>所在地人民法院起诉。</w:t>
      </w:r>
    </w:p>
    <w:p w14:paraId="3FAAE531">
      <w:pPr>
        <w:tabs>
          <w:tab w:val="left" w:pos="480"/>
        </w:tabs>
        <w:spacing w:line="360" w:lineRule="auto"/>
        <w:ind w:firstLine="413" w:firstLineChars="196"/>
        <w:rPr>
          <w:rFonts w:ascii="宋体" w:hAnsi="宋体" w:cs="宋体"/>
          <w:b/>
          <w:color w:val="auto"/>
          <w:szCs w:val="21"/>
          <w:highlight w:val="none"/>
        </w:rPr>
      </w:pPr>
      <w:r>
        <w:rPr>
          <w:rFonts w:hint="eastAsia" w:ascii="宋体" w:hAnsi="宋体" w:cs="宋体"/>
          <w:b/>
          <w:color w:val="auto"/>
          <w:szCs w:val="21"/>
          <w:highlight w:val="none"/>
        </w:rPr>
        <w:t>十四、合同生效</w:t>
      </w:r>
    </w:p>
    <w:p w14:paraId="3FD20289">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本合同一式</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份，甲方执</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份，乙方执</w:t>
      </w:r>
      <w:r>
        <w:rPr>
          <w:rFonts w:hint="eastAsia" w:ascii="宋体" w:hAnsi="宋体" w:cs="宋体"/>
          <w:bCs/>
          <w:color w:val="auto"/>
          <w:szCs w:val="21"/>
          <w:highlight w:val="none"/>
          <w:u w:val="single"/>
        </w:rPr>
        <w:t xml:space="preserve">   </w:t>
      </w:r>
      <w:r>
        <w:rPr>
          <w:rFonts w:hint="eastAsia" w:ascii="宋体" w:hAnsi="宋体" w:cs="宋体"/>
          <w:bCs/>
          <w:color w:val="auto"/>
          <w:szCs w:val="21"/>
          <w:highlight w:val="none"/>
        </w:rPr>
        <w:t>份、采购代理机构执</w:t>
      </w:r>
      <w:r>
        <w:rPr>
          <w:rFonts w:hint="eastAsia" w:ascii="宋体" w:hAnsi="宋体" w:cs="宋体"/>
          <w:bCs/>
          <w:color w:val="auto"/>
          <w:szCs w:val="21"/>
          <w:highlight w:val="none"/>
          <w:u w:val="single"/>
        </w:rPr>
        <w:t>壹</w:t>
      </w:r>
      <w:r>
        <w:rPr>
          <w:rFonts w:hint="eastAsia" w:ascii="宋体" w:hAnsi="宋体" w:cs="宋体"/>
          <w:bCs/>
          <w:color w:val="auto"/>
          <w:szCs w:val="21"/>
          <w:highlight w:val="none"/>
        </w:rPr>
        <w:t>份，本合同甲、乙方签字盖章后生效，合同执行完毕后，自动失效（合同的服务承诺则长期有效）。</w:t>
      </w:r>
    </w:p>
    <w:p w14:paraId="6C3A8AA9">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（一）相关管理部门在合同的履行期间以及履行期后，可以随时检查项目的执行情况，对采购内容、标准进行调查核实，并对发现的问题进行处理。</w:t>
      </w:r>
    </w:p>
    <w:p w14:paraId="6C1A2BD8">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（二）招标文件、投标文件、澄清表（函）、中标通知书、合同附件均成为合同不可分割的部分。</w:t>
      </w:r>
    </w:p>
    <w:p w14:paraId="385E3F54">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（三）合同未尽事宜，由甲、乙双方协商并确认后，作为合同补充，与原合同具有同等法律效力。</w:t>
      </w:r>
    </w:p>
    <w:p w14:paraId="63A44C16">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（四）合同一经签订，不得擅自变更、中止或终止合同。对确需变更、调整或中止、终止合同的，应按规定履行相应的手续。</w:t>
      </w:r>
    </w:p>
    <w:p w14:paraId="1F15D17F">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（五）本合同按照中华人民共和国的现行法律进行解释。</w:t>
      </w:r>
    </w:p>
    <w:p w14:paraId="655EF644">
      <w:pPr>
        <w:tabs>
          <w:tab w:val="left" w:pos="48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（以下无正文）</w:t>
      </w:r>
    </w:p>
    <w:p w14:paraId="446E6C66">
      <w:pPr>
        <w:tabs>
          <w:tab w:val="left" w:pos="48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甲  方（盖章）                             乙  方（盖章）</w:t>
      </w:r>
    </w:p>
    <w:p w14:paraId="627EEE5C">
      <w:pPr>
        <w:tabs>
          <w:tab w:val="left" w:pos="48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单位名称：                                 单位名称：</w:t>
      </w:r>
    </w:p>
    <w:p w14:paraId="7A8B0CDD">
      <w:pPr>
        <w:tabs>
          <w:tab w:val="left" w:pos="48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地  址：                                   地  址：</w:t>
      </w:r>
    </w:p>
    <w:p w14:paraId="0A7F9BE1">
      <w:pPr>
        <w:tabs>
          <w:tab w:val="left" w:pos="48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法定代表人或授权委托人（签字或盖章）：     法定代表人或授权委托人（签字或盖章）：</w:t>
      </w:r>
    </w:p>
    <w:p w14:paraId="1E4F5204">
      <w:pPr>
        <w:tabs>
          <w:tab w:val="left" w:pos="480"/>
        </w:tabs>
        <w:spacing w:line="360" w:lineRule="auto"/>
        <w:rPr>
          <w:rFonts w:hint="eastAsia" w:ascii="宋体" w:hAnsi="宋体" w:cs="宋体"/>
          <w:bCs/>
          <w:color w:val="auto"/>
          <w:szCs w:val="21"/>
          <w:highlight w:val="none"/>
        </w:rPr>
      </w:pPr>
    </w:p>
    <w:p w14:paraId="734F122E">
      <w:pPr>
        <w:tabs>
          <w:tab w:val="left" w:pos="480"/>
        </w:tabs>
        <w:spacing w:line="360" w:lineRule="auto"/>
        <w:ind w:firstLine="420" w:firstLineChars="200"/>
        <w:rPr>
          <w:rFonts w:hint="eastAsia" w:ascii="宋体" w:hAnsi="宋体" w:cs="宋体"/>
          <w:bCs/>
          <w:color w:val="auto"/>
          <w:szCs w:val="21"/>
          <w:highlight w:val="none"/>
        </w:rPr>
      </w:pPr>
    </w:p>
    <w:p w14:paraId="209D3C87">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 xml:space="preserve">                                       开户银行：</w:t>
      </w:r>
    </w:p>
    <w:p w14:paraId="257AABDE">
      <w:pPr>
        <w:tabs>
          <w:tab w:val="left" w:pos="480"/>
        </w:tabs>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 xml:space="preserve">                                       账  号：       </w:t>
      </w:r>
    </w:p>
    <w:p w14:paraId="2EF21A8F">
      <w:pPr>
        <w:tabs>
          <w:tab w:val="left" w:pos="480"/>
        </w:tabs>
        <w:spacing w:line="360" w:lineRule="auto"/>
        <w:rPr>
          <w:rFonts w:ascii="宋体" w:hAnsi="宋体" w:cs="宋体"/>
          <w:bCs/>
          <w:color w:val="auto"/>
          <w:szCs w:val="21"/>
          <w:highlight w:val="none"/>
        </w:rPr>
      </w:pPr>
      <w:r>
        <w:rPr>
          <w:rFonts w:hint="eastAsia" w:ascii="宋体" w:hAnsi="宋体" w:cs="宋体"/>
          <w:bCs/>
          <w:color w:val="auto"/>
          <w:szCs w:val="21"/>
          <w:highlight w:val="none"/>
        </w:rPr>
        <w:t>联系电话：                                 联系电话：</w:t>
      </w:r>
    </w:p>
    <w:p w14:paraId="264C4FED">
      <w:pPr>
        <w:rPr>
          <w:rFonts w:hint="eastAsia" w:ascii="宋体" w:hAnsi="宋体" w:cs="宋体"/>
          <w:bCs/>
          <w:color w:val="auto"/>
          <w:szCs w:val="21"/>
          <w:highlight w:val="none"/>
        </w:rPr>
      </w:pPr>
      <w:r>
        <w:rPr>
          <w:rFonts w:hint="eastAsia" w:ascii="宋体" w:hAnsi="宋体" w:cs="宋体"/>
          <w:bCs/>
          <w:color w:val="auto"/>
          <w:szCs w:val="21"/>
          <w:highlight w:val="none"/>
        </w:rPr>
        <w:t>签订日期：     年    月      日            签订日期：     年    月   日</w:t>
      </w:r>
    </w:p>
    <w:p w14:paraId="1A1F47CC">
      <w:pPr>
        <w:rPr>
          <w:rFonts w:hint="eastAsia" w:ascii="宋体" w:hAnsi="宋体" w:cs="宋体"/>
          <w:bCs/>
          <w:color w:val="auto"/>
          <w:szCs w:val="21"/>
          <w:highlight w:val="none"/>
          <w:lang w:eastAsia="zh-CN"/>
        </w:rPr>
      </w:pPr>
    </w:p>
    <w:p w14:paraId="7FB026A9">
      <w:pPr>
        <w:rPr>
          <w:rFonts w:hint="eastAsia" w:eastAsia="宋体"/>
          <w:color w:val="auto"/>
          <w:highlight w:val="none"/>
          <w:lang w:eastAsia="zh-CN"/>
        </w:rPr>
      </w:pPr>
      <w:r>
        <w:rPr>
          <w:rFonts w:hint="eastAsia" w:ascii="宋体" w:hAnsi="宋体" w:cs="宋体"/>
          <w:bCs/>
          <w:color w:val="auto"/>
          <w:szCs w:val="21"/>
          <w:highlight w:val="none"/>
          <w:lang w:eastAsia="zh-CN"/>
        </w:rPr>
        <w:t>（</w:t>
      </w:r>
      <w:r>
        <w:rPr>
          <w:rFonts w:hint="eastAsia" w:ascii="宋体" w:hAnsi="宋体" w:cs="宋体"/>
          <w:bCs/>
          <w:color w:val="auto"/>
          <w:szCs w:val="21"/>
          <w:highlight w:val="none"/>
          <w:lang w:val="en-US" w:eastAsia="zh-CN"/>
        </w:rPr>
        <w:t>具体合同条款及内容以实际签订为准</w:t>
      </w:r>
      <w:r>
        <w:rPr>
          <w:rFonts w:hint="eastAsia" w:ascii="宋体" w:hAnsi="宋体" w:cs="宋体"/>
          <w:bCs/>
          <w:color w:val="auto"/>
          <w:szCs w:val="21"/>
          <w:highlight w:val="none"/>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FA3E93"/>
    <w:multiLevelType w:val="singleLevel"/>
    <w:tmpl w:val="B6FA3E9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iN2I4NGE2ZDUyODhhZDUxMDJjZDIyNDAxMTA1NjUifQ=="/>
  </w:docVars>
  <w:rsids>
    <w:rsidRoot w:val="20C1569E"/>
    <w:rsid w:val="00054688"/>
    <w:rsid w:val="00DA422A"/>
    <w:rsid w:val="04373DC3"/>
    <w:rsid w:val="066E1317"/>
    <w:rsid w:val="0A273DE5"/>
    <w:rsid w:val="0CAA3075"/>
    <w:rsid w:val="0D923934"/>
    <w:rsid w:val="0E5306B0"/>
    <w:rsid w:val="111E1B8C"/>
    <w:rsid w:val="112631E6"/>
    <w:rsid w:val="12142A6E"/>
    <w:rsid w:val="16FD6608"/>
    <w:rsid w:val="1721363E"/>
    <w:rsid w:val="17EC599E"/>
    <w:rsid w:val="1CC3102C"/>
    <w:rsid w:val="1CF82B53"/>
    <w:rsid w:val="20125A00"/>
    <w:rsid w:val="205624F0"/>
    <w:rsid w:val="20AA28CD"/>
    <w:rsid w:val="20C1569E"/>
    <w:rsid w:val="23C15E1B"/>
    <w:rsid w:val="28EF0A38"/>
    <w:rsid w:val="296B229E"/>
    <w:rsid w:val="29A96B14"/>
    <w:rsid w:val="2CCE03DB"/>
    <w:rsid w:val="32812D01"/>
    <w:rsid w:val="33A4500D"/>
    <w:rsid w:val="3B7A00A0"/>
    <w:rsid w:val="3B96033E"/>
    <w:rsid w:val="3D061EFE"/>
    <w:rsid w:val="3E352AAE"/>
    <w:rsid w:val="3EA3032C"/>
    <w:rsid w:val="42FD2B88"/>
    <w:rsid w:val="477A45F5"/>
    <w:rsid w:val="481F7331"/>
    <w:rsid w:val="4D87403A"/>
    <w:rsid w:val="51876C31"/>
    <w:rsid w:val="54136230"/>
    <w:rsid w:val="5CA510D6"/>
    <w:rsid w:val="60177EB2"/>
    <w:rsid w:val="6039487E"/>
    <w:rsid w:val="64E41E18"/>
    <w:rsid w:val="6532453E"/>
    <w:rsid w:val="65856C24"/>
    <w:rsid w:val="68881A78"/>
    <w:rsid w:val="6F572EB1"/>
    <w:rsid w:val="70B64CD9"/>
    <w:rsid w:val="73912374"/>
    <w:rsid w:val="763D66DC"/>
    <w:rsid w:val="77465A96"/>
    <w:rsid w:val="78DA4288"/>
    <w:rsid w:val="78F00B96"/>
    <w:rsid w:val="7D2C68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sz w:val="24"/>
    </w:rPr>
  </w:style>
  <w:style w:type="paragraph" w:styleId="3">
    <w:name w:val="annotation text"/>
    <w:basedOn w:val="1"/>
    <w:qFormat/>
    <w:uiPriority w:val="0"/>
    <w:pPr>
      <w:jc w:val="left"/>
    </w:p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5">
    <w:name w:val="Normal (Web)"/>
    <w:basedOn w:val="1"/>
    <w:qFormat/>
    <w:uiPriority w:val="0"/>
    <w:pPr>
      <w:spacing w:before="100" w:beforeAutospacing="1" w:after="100" w:afterAutospacing="1"/>
      <w:jc w:val="left"/>
    </w:pPr>
    <w:rPr>
      <w:kern w:val="0"/>
      <w:sz w:val="24"/>
    </w:rPr>
  </w:style>
  <w:style w:type="paragraph" w:customStyle="1" w:styleId="8">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9">
    <w:name w:val="正文内容"/>
    <w:basedOn w:val="1"/>
    <w:qFormat/>
    <w:uiPriority w:val="0"/>
    <w:pPr>
      <w:spacing w:beforeLines="50" w:afterLines="50" w:line="360" w:lineRule="auto"/>
      <w:ind w:firstLine="480" w:firstLineChars="200"/>
    </w:pPr>
    <w:rPr>
      <w:rFonts w:cs="宋体"/>
      <w:sz w:val="24"/>
    </w:rPr>
  </w:style>
  <w:style w:type="paragraph" w:customStyle="1" w:styleId="10">
    <w:name w:val="Revision"/>
    <w:hidden/>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2772</Words>
  <Characters>2773</Characters>
  <Lines>28</Lines>
  <Paragraphs>8</Paragraphs>
  <TotalTime>4</TotalTime>
  <ScaleCrop>false</ScaleCrop>
  <LinksUpToDate>false</LinksUpToDate>
  <CharactersWithSpaces>3286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2023-10-24T04:21:00Z</dcterms:created>
  <dc:creator>東</dc:creator>
  <cp:lastModifiedBy>FFF</cp:lastModifiedBy>
  <dcterms:modified xsi:type="dcterms:W3CDTF">2025-07-03T07:07:04Z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E56D021A71F24239804D1AB0C75AA5BC_11</vt:lpwstr>
  </property>
  <property fmtid="{D5CDD505-2E9C-101B-9397-08002B2CF9AE}" pid="4" name="KSOTemplateDocerSaveRecord">
    <vt:lpwstr>eyJoZGlkIjoiZTAyYjVmMmNkMjA5MTIzZmE0NTc5NzY5NGQ5ZjQwYzQiLCJ1c2VySWQiOiIyMTc3NTk4NDEifQ==</vt:lpwstr>
  </property>
</Properties>
</file>