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75D6F">
      <w:pPr>
        <w:pStyle w:val="3"/>
        <w:numPr>
          <w:ilvl w:val="0"/>
          <w:numId w:val="0"/>
        </w:numPr>
        <w:spacing w:line="24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</w:t>
      </w:r>
    </w:p>
    <w:p w14:paraId="0E06359B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供应商自行报出完成本项目各项服务所需的价格，格式自拟。</w:t>
      </w:r>
    </w:p>
    <w:p w14:paraId="7891B8EF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en-US" w:eastAsia="zh-CN"/>
        </w:rPr>
      </w:pPr>
    </w:p>
    <w:p w14:paraId="5D10E647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sz w:val="24"/>
          <w:lang w:val="en-US" w:eastAsia="zh-CN"/>
        </w:rPr>
      </w:pPr>
    </w:p>
    <w:p w14:paraId="68199F7E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6ABAE9DA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156C52CE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44C42A71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58435429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282D442C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3FDE599B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2FB31A1D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1D1672B7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3D1140A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9589D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4FD19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2B1101B0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331C369E">
      <w:pPr>
        <w:pStyle w:val="11"/>
        <w:adjustRightInd w:val="0"/>
        <w:snapToGrid w:val="0"/>
        <w:ind w:firstLine="3840" w:firstLineChars="16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318BD5B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 w14:paraId="119CC963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1"/>
          <w:highlight w:val="none"/>
        </w:rPr>
        <w:t>本表中的“总价”与“报价表”中的“总价”一致。各分项分别报价。</w:t>
      </w: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90768"/>
    <w:multiLevelType w:val="singleLevel"/>
    <w:tmpl w:val="0F8907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6826DA"/>
    <w:rsid w:val="0EF4713C"/>
    <w:rsid w:val="2051407C"/>
    <w:rsid w:val="2302358E"/>
    <w:rsid w:val="2E216197"/>
    <w:rsid w:val="44DC1567"/>
    <w:rsid w:val="574207EF"/>
    <w:rsid w:val="5EF72396"/>
    <w:rsid w:val="5FD73A73"/>
    <w:rsid w:val="635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2"/>
    <w:autoRedefine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autoRedefine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171</Characters>
  <Lines>0</Lines>
  <Paragraphs>0</Paragraphs>
  <TotalTime>1</TotalTime>
  <ScaleCrop>false</ScaleCrop>
  <LinksUpToDate>false</LinksUpToDate>
  <CharactersWithSpaces>252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乔公子</cp:lastModifiedBy>
  <dcterms:modified xsi:type="dcterms:W3CDTF">2025-06-23T06:11:47Z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