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B888B">
      <w:pPr>
        <w:pStyle w:val="3"/>
        <w:numPr>
          <w:ilvl w:val="0"/>
          <w:numId w:val="1"/>
        </w:numPr>
        <w:spacing w:line="360" w:lineRule="auto"/>
        <w:ind w:left="0" w:leftChars="0" w:firstLine="0" w:firstLineChars="0"/>
        <w:jc w:val="center"/>
        <w:rPr>
          <w:rFonts w:hint="eastAsia" w:ascii="宋体" w:hAnsi="宋体" w:cs="宋体"/>
          <w:color w:val="auto"/>
          <w:sz w:val="44"/>
          <w:szCs w:val="24"/>
          <w:highlight w:val="none"/>
        </w:rPr>
      </w:pPr>
      <w:bookmarkStart w:id="0" w:name="_Toc8958"/>
      <w:r>
        <w:rPr>
          <w:rFonts w:hint="eastAsia" w:ascii="宋体" w:hAnsi="宋体" w:cs="宋体"/>
          <w:color w:val="auto"/>
          <w:sz w:val="44"/>
          <w:szCs w:val="24"/>
          <w:highlight w:val="none"/>
        </w:rPr>
        <w:t>拟签订的合同条款</w:t>
      </w:r>
      <w:bookmarkEnd w:id="0"/>
    </w:p>
    <w:p w14:paraId="395437B7">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甲方：</w:t>
      </w:r>
    </w:p>
    <w:p w14:paraId="6A9B309A">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乙方： </w:t>
      </w:r>
    </w:p>
    <w:p w14:paraId="6D5EF96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u w:val="single"/>
        </w:rPr>
        <w:t>传承创新示范试点(中药药事管理模式创新院内制剂研发)项目(项目编号：</w:t>
      </w:r>
      <w:r>
        <w:rPr>
          <w:rFonts w:hint="eastAsia" w:ascii="宋体" w:hAnsi="宋体" w:cs="宋体"/>
          <w:bCs/>
          <w:color w:val="auto"/>
          <w:sz w:val="24"/>
          <w:highlight w:val="none"/>
          <w:u w:val="single"/>
          <w:lang w:eastAsia="zh-CN"/>
        </w:rPr>
        <w:t>MZ2025-CS10</w:t>
      </w:r>
      <w:r>
        <w:rPr>
          <w:rFonts w:hint="eastAsia" w:ascii="宋体" w:hAnsi="宋体" w:cs="宋体"/>
          <w:bCs/>
          <w:color w:val="auto"/>
          <w:sz w:val="24"/>
          <w:highlight w:val="none"/>
          <w:u w:val="single"/>
          <w:lang w:val="en-US" w:eastAsia="zh-CN"/>
        </w:rPr>
        <w:t>13</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rPr>
        <w:t>由陕西明正招标有限公司组织竞争性</w:t>
      </w:r>
      <w:r>
        <w:rPr>
          <w:rFonts w:hint="eastAsia" w:ascii="宋体" w:hAnsi="宋体" w:cs="宋体"/>
          <w:bCs/>
          <w:color w:val="auto"/>
          <w:sz w:val="24"/>
          <w:highlight w:val="none"/>
          <w:lang w:val="en-US" w:eastAsia="zh-CN"/>
        </w:rPr>
        <w:t>磋商采购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16E92FE5">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》，经双方协商按下述条款和条件签署本合同。</w:t>
      </w:r>
    </w:p>
    <w:p w14:paraId="43114F5B">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31E4A433">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（一）合同总价款为人民币（大写）</w:t>
      </w:r>
      <w:r>
        <w:rPr>
          <w:rFonts w:hint="eastAsia" w:ascii="宋体" w:hAnsi="宋体"/>
          <w:bCs/>
          <w:color w:val="auto"/>
          <w:sz w:val="24"/>
          <w:u w:val="single"/>
        </w:rPr>
        <w:t xml:space="preserve">             </w:t>
      </w:r>
      <w:r>
        <w:rPr>
          <w:rFonts w:hint="eastAsia" w:ascii="宋体" w:hAnsi="宋体"/>
          <w:bCs/>
          <w:color w:val="auto"/>
          <w:sz w:val="24"/>
        </w:rPr>
        <w:t>（￥</w:t>
      </w:r>
      <w:r>
        <w:rPr>
          <w:rFonts w:hint="eastAsia" w:ascii="宋体" w:hAnsi="宋体"/>
          <w:bCs/>
          <w:color w:val="auto"/>
          <w:sz w:val="24"/>
          <w:u w:val="single"/>
        </w:rPr>
        <w:t xml:space="preserve">     </w:t>
      </w:r>
      <w:r>
        <w:rPr>
          <w:rFonts w:hint="eastAsia" w:ascii="宋体" w:hAnsi="宋体"/>
          <w:bCs/>
          <w:color w:val="auto"/>
          <w:sz w:val="24"/>
        </w:rPr>
        <w:t xml:space="preserve"> ）。</w:t>
      </w:r>
    </w:p>
    <w:p w14:paraId="0DA8BCDF">
      <w:pPr>
        <w:autoSpaceDE w:val="0"/>
        <w:autoSpaceDN w:val="0"/>
        <w:adjustRightInd w:val="0"/>
        <w:spacing w:line="360" w:lineRule="auto"/>
        <w:ind w:firstLine="480" w:firstLineChars="200"/>
        <w:rPr>
          <w:rFonts w:hint="eastAsia" w:ascii="宋体" w:hAnsi="宋体" w:cs="宋体"/>
          <w:color w:val="auto"/>
          <w:sz w:val="24"/>
          <w:highlight w:val="yellow"/>
        </w:rPr>
      </w:pPr>
      <w:r>
        <w:rPr>
          <w:rFonts w:hint="eastAsia" w:ascii="宋体" w:hAnsi="宋体"/>
          <w:bCs/>
          <w:color w:val="auto"/>
          <w:sz w:val="24"/>
        </w:rPr>
        <w:t>（二）合同总价包括：</w:t>
      </w:r>
      <w:r>
        <w:rPr>
          <w:rFonts w:hint="eastAsia" w:ascii="宋体" w:hAnsi="宋体" w:cs="宋体"/>
          <w:color w:val="auto"/>
          <w:sz w:val="24"/>
        </w:rPr>
        <w:t>本项目所需的一切</w:t>
      </w:r>
      <w:r>
        <w:rPr>
          <w:rFonts w:hint="eastAsia" w:ascii="宋体" w:hAnsi="宋体" w:cs="宋体"/>
          <w:color w:val="auto"/>
          <w:sz w:val="24"/>
          <w:highlight w:val="none"/>
        </w:rPr>
        <w:t>费用。</w:t>
      </w:r>
    </w:p>
    <w:p w14:paraId="786DB85E">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（三）合同总价一次性包死，不受市场价格变化因素的影响。</w:t>
      </w:r>
    </w:p>
    <w:p w14:paraId="769A71B3">
      <w:pPr>
        <w:autoSpaceDE w:val="0"/>
        <w:autoSpaceDN w:val="0"/>
        <w:adjustRightInd w:val="0"/>
        <w:spacing w:line="360" w:lineRule="auto"/>
        <w:ind w:firstLine="482" w:firstLineChars="200"/>
        <w:rPr>
          <w:rFonts w:ascii="宋体" w:hAnsi="宋体"/>
          <w:bCs/>
          <w:color w:val="auto"/>
          <w:sz w:val="24"/>
        </w:rPr>
      </w:pPr>
      <w:r>
        <w:rPr>
          <w:rFonts w:hint="eastAsia" w:ascii="宋体" w:hAnsi="宋体"/>
          <w:b/>
          <w:bCs/>
          <w:color w:val="auto"/>
          <w:sz w:val="24"/>
        </w:rPr>
        <w:t>二、服务地点及服务期限：</w:t>
      </w:r>
    </w:p>
    <w:p w14:paraId="49B61F88">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（一）服务地点：</w:t>
      </w:r>
      <w:r>
        <w:rPr>
          <w:rFonts w:hint="eastAsia" w:ascii="宋体" w:hAnsi="宋体" w:cs="宋体"/>
          <w:b w:val="0"/>
          <w:bCs/>
          <w:color w:val="auto"/>
          <w:sz w:val="24"/>
          <w:highlight w:val="none"/>
          <w:lang w:val="en-US" w:eastAsia="zh-CN"/>
        </w:rPr>
        <w:t>甲方指定地点</w:t>
      </w:r>
    </w:p>
    <w:p w14:paraId="49F3AE0B">
      <w:pPr>
        <w:spacing w:line="360" w:lineRule="auto"/>
        <w:ind w:firstLine="480" w:firstLineChars="200"/>
        <w:rPr>
          <w:rFonts w:ascii="宋体" w:hAnsi="宋体"/>
          <w:color w:val="auto"/>
          <w:sz w:val="24"/>
        </w:rPr>
      </w:pPr>
      <w:r>
        <w:rPr>
          <w:rFonts w:hint="eastAsia" w:ascii="宋体" w:hAnsi="宋体"/>
          <w:bCs/>
          <w:color w:val="auto"/>
          <w:sz w:val="24"/>
        </w:rPr>
        <w:t>（二）服务期</w:t>
      </w:r>
      <w:r>
        <w:rPr>
          <w:rFonts w:hint="eastAsia" w:ascii="宋体" w:hAnsi="宋体"/>
          <w:bCs/>
          <w:color w:val="auto"/>
          <w:sz w:val="24"/>
          <w:lang w:val="en-US" w:eastAsia="zh-CN"/>
        </w:rPr>
        <w:t>限</w:t>
      </w:r>
      <w:r>
        <w:rPr>
          <w:rFonts w:hint="eastAsia" w:ascii="宋体" w:hAnsi="宋体"/>
          <w:bCs/>
          <w:color w:val="auto"/>
          <w:sz w:val="24"/>
        </w:rPr>
        <w:t>：自合同签订之日起365日</w:t>
      </w:r>
      <w:r>
        <w:rPr>
          <w:rFonts w:hint="eastAsia" w:ascii="宋体" w:hAnsi="宋体" w:cs="宋体"/>
          <w:b w:val="0"/>
          <w:bCs/>
          <w:color w:val="auto"/>
          <w:sz w:val="24"/>
          <w:highlight w:val="none"/>
          <w:lang w:eastAsia="zh-CN"/>
        </w:rPr>
        <w:t>。</w:t>
      </w:r>
    </w:p>
    <w:p w14:paraId="58BC0DD3">
      <w:pPr>
        <w:autoSpaceDE w:val="0"/>
        <w:autoSpaceDN w:val="0"/>
        <w:adjustRightInd w:val="0"/>
        <w:spacing w:line="360" w:lineRule="auto"/>
        <w:ind w:firstLine="482" w:firstLineChars="200"/>
        <w:rPr>
          <w:rFonts w:ascii="宋体" w:hAnsi="宋体"/>
          <w:b/>
          <w:bCs/>
          <w:color w:val="auto"/>
          <w:sz w:val="24"/>
        </w:rPr>
      </w:pPr>
      <w:r>
        <w:rPr>
          <w:rFonts w:hint="eastAsia" w:ascii="宋体" w:hAnsi="宋体"/>
          <w:b/>
          <w:bCs/>
          <w:color w:val="auto"/>
          <w:sz w:val="24"/>
        </w:rPr>
        <w:t>三、款项结算</w:t>
      </w:r>
    </w:p>
    <w:p w14:paraId="69D1D445">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w:t>
      </w:r>
      <w:r>
        <w:rPr>
          <w:rFonts w:hint="eastAsia" w:ascii="宋体" w:hAnsi="宋体"/>
          <w:bCs/>
          <w:color w:val="auto"/>
          <w:sz w:val="24"/>
          <w:lang w:val="en-US" w:eastAsia="zh-CN"/>
        </w:rPr>
        <w:t>支付方式</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分期付款</w:t>
      </w:r>
      <w:r>
        <w:rPr>
          <w:rFonts w:hint="eastAsia" w:ascii="宋体" w:hAnsi="宋体" w:cs="宋体"/>
          <w:bCs/>
          <w:color w:val="auto"/>
          <w:sz w:val="24"/>
          <w:u w:val="single"/>
        </w:rPr>
        <w:t xml:space="preserve">     </w:t>
      </w:r>
      <w:r>
        <w:rPr>
          <w:rFonts w:hint="eastAsia" w:ascii="宋体" w:hAnsi="宋体"/>
          <w:bCs/>
          <w:color w:val="auto"/>
          <w:sz w:val="24"/>
        </w:rPr>
        <w:t>。</w:t>
      </w:r>
    </w:p>
    <w:p w14:paraId="251FFB24">
      <w:pPr>
        <w:autoSpaceDE w:val="0"/>
        <w:autoSpaceDN w:val="0"/>
        <w:adjustRightInd w:val="0"/>
        <w:spacing w:line="360" w:lineRule="auto"/>
        <w:ind w:firstLine="480" w:firstLineChars="200"/>
        <w:rPr>
          <w:rFonts w:hint="eastAsia" w:ascii="宋体" w:hAnsi="宋体" w:cs="宋体"/>
          <w:bCs/>
          <w:color w:val="auto"/>
          <w:sz w:val="24"/>
          <w:u w:val="single"/>
        </w:rPr>
      </w:pPr>
      <w:r>
        <w:rPr>
          <w:rFonts w:hint="eastAsia" w:ascii="宋体" w:hAnsi="宋体"/>
          <w:bCs/>
          <w:color w:val="auto"/>
          <w:sz w:val="24"/>
        </w:rPr>
        <w:t>（二）</w:t>
      </w:r>
      <w:r>
        <w:rPr>
          <w:rFonts w:hint="eastAsia" w:ascii="宋体" w:hAnsi="宋体"/>
          <w:bCs/>
          <w:color w:val="auto"/>
          <w:sz w:val="24"/>
          <w:lang w:val="en-US" w:eastAsia="zh-CN"/>
        </w:rPr>
        <w:t>支付约定</w:t>
      </w:r>
      <w:r>
        <w:rPr>
          <w:rFonts w:hint="eastAsia" w:ascii="宋体" w:hAnsi="宋体"/>
          <w:bCs/>
          <w:color w:val="auto"/>
          <w:sz w:val="24"/>
        </w:rPr>
        <w:t>：</w:t>
      </w:r>
      <w:r>
        <w:rPr>
          <w:rFonts w:hint="eastAsia" w:ascii="宋体" w:hAnsi="宋体" w:cs="宋体"/>
          <w:bCs/>
          <w:color w:val="auto"/>
          <w:sz w:val="24"/>
          <w:u w:val="single"/>
        </w:rPr>
        <w:t xml:space="preserve"> 采购包1： 付款条件说明： 签订合同、收到供应商提供的发票后 ，达到付款条件起 20 日内，支付合同总金额的 60.00%。</w:t>
      </w:r>
    </w:p>
    <w:p w14:paraId="5B3DC772">
      <w:pPr>
        <w:autoSpaceDE w:val="0"/>
        <w:autoSpaceDN w:val="0"/>
        <w:adjustRightInd w:val="0"/>
        <w:spacing w:line="360" w:lineRule="auto"/>
        <w:ind w:firstLine="480" w:firstLineChars="200"/>
        <w:rPr>
          <w:rFonts w:ascii="宋体" w:hAnsi="宋体"/>
          <w:bCs/>
          <w:color w:val="auto"/>
          <w:sz w:val="24"/>
          <w:highlight w:val="yellow"/>
        </w:rPr>
      </w:pPr>
      <w:r>
        <w:rPr>
          <w:rFonts w:hint="eastAsia" w:ascii="宋体" w:hAnsi="宋体" w:cs="宋体"/>
          <w:bCs/>
          <w:color w:val="auto"/>
          <w:sz w:val="24"/>
          <w:u w:val="single"/>
        </w:rPr>
        <w:t xml:space="preserve">采购包1： 付款条件说明： 全部工作完成通过采购人验收合格，收到供应商提供的发票后 ，达到付款条件起 20 日内，支付合同总金额的 40.00%。 </w:t>
      </w:r>
      <w:r>
        <w:rPr>
          <w:rFonts w:hint="eastAsia" w:ascii="宋体" w:hAnsi="宋体"/>
          <w:bCs/>
          <w:color w:val="auto"/>
          <w:sz w:val="24"/>
        </w:rPr>
        <w:t>。</w:t>
      </w:r>
    </w:p>
    <w:p w14:paraId="256C0B18">
      <w:pPr>
        <w:autoSpaceDE w:val="0"/>
        <w:autoSpaceDN w:val="0"/>
        <w:adjustRightInd w:val="0"/>
        <w:snapToGrid w:val="0"/>
        <w:spacing w:line="360" w:lineRule="auto"/>
        <w:ind w:firstLine="482" w:firstLineChars="200"/>
        <w:rPr>
          <w:rFonts w:hint="eastAsia" w:ascii="宋体" w:hAnsi="宋体" w:eastAsia="宋体" w:cs="宋体"/>
          <w:b/>
          <w:bCs/>
          <w:color w:val="auto"/>
          <w:sz w:val="24"/>
          <w:lang w:val="en-US" w:eastAsia="zh-CN"/>
        </w:rPr>
      </w:pPr>
      <w:r>
        <w:rPr>
          <w:rFonts w:hint="eastAsia" w:ascii="宋体" w:hAnsi="宋体" w:cs="宋体"/>
          <w:b/>
          <w:bCs/>
          <w:color w:val="auto"/>
          <w:sz w:val="24"/>
        </w:rPr>
        <w:t>四、</w:t>
      </w:r>
      <w:r>
        <w:rPr>
          <w:rFonts w:hint="eastAsia" w:ascii="宋体" w:hAnsi="宋体" w:cs="宋体"/>
          <w:b/>
          <w:bCs/>
          <w:color w:val="auto"/>
          <w:sz w:val="24"/>
          <w:lang w:val="en-US" w:eastAsia="zh-CN"/>
        </w:rPr>
        <w:t>验收</w:t>
      </w:r>
    </w:p>
    <w:p w14:paraId="3EC0DA50">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（一）成交供应商配合采购人验收。</w:t>
      </w:r>
    </w:p>
    <w:p w14:paraId="5AE52BED">
      <w:pPr>
        <w:autoSpaceDE w:val="0"/>
        <w:autoSpaceDN w:val="0"/>
        <w:adjustRightInd w:val="0"/>
        <w:spacing w:line="348" w:lineRule="auto"/>
        <w:ind w:firstLine="480" w:firstLineChars="200"/>
        <w:rPr>
          <w:rFonts w:hint="eastAsia" w:ascii="宋体" w:hAnsi="宋体"/>
          <w:bCs/>
          <w:color w:val="auto"/>
          <w:sz w:val="24"/>
        </w:rPr>
      </w:pPr>
      <w:r>
        <w:rPr>
          <w:rFonts w:hint="eastAsia" w:ascii="宋体" w:hAnsi="宋体"/>
          <w:bCs/>
          <w:color w:val="auto"/>
          <w:sz w:val="24"/>
        </w:rPr>
        <w:t>（二）验收</w:t>
      </w:r>
      <w:r>
        <w:rPr>
          <w:rFonts w:hint="eastAsia" w:ascii="宋体" w:hAnsi="宋体"/>
          <w:bCs/>
          <w:color w:val="auto"/>
          <w:sz w:val="24"/>
          <w:lang w:val="en-US" w:eastAsia="zh-CN"/>
        </w:rPr>
        <w:t>标准</w:t>
      </w:r>
      <w:r>
        <w:rPr>
          <w:rFonts w:hint="eastAsia" w:ascii="宋体" w:hAnsi="宋体"/>
          <w:bCs/>
          <w:color w:val="auto"/>
          <w:sz w:val="24"/>
        </w:rPr>
        <w:t>：</w:t>
      </w:r>
    </w:p>
    <w:p w14:paraId="18557CA2">
      <w:pPr>
        <w:autoSpaceDE w:val="0"/>
        <w:autoSpaceDN w:val="0"/>
        <w:adjustRightInd w:val="0"/>
        <w:spacing w:line="348" w:lineRule="auto"/>
        <w:ind w:firstLine="480" w:firstLineChars="200"/>
        <w:rPr>
          <w:rFonts w:hint="eastAsia" w:ascii="宋体" w:hAnsi="宋体"/>
          <w:bCs/>
          <w:color w:val="auto"/>
          <w:sz w:val="24"/>
        </w:rPr>
      </w:pPr>
      <w:r>
        <w:rPr>
          <w:rFonts w:hint="eastAsia" w:ascii="宋体" w:hAnsi="宋体"/>
          <w:bCs/>
          <w:color w:val="auto"/>
          <w:sz w:val="24"/>
          <w:lang w:val="en-US" w:eastAsia="zh-CN"/>
        </w:rPr>
        <w:t>1</w:t>
      </w:r>
      <w:r>
        <w:rPr>
          <w:rFonts w:hint="eastAsia" w:ascii="宋体" w:hAnsi="宋体"/>
          <w:bCs/>
          <w:color w:val="auto"/>
          <w:sz w:val="24"/>
        </w:rPr>
        <w:t>、技术履约验收内容：按国家有关规定以及磋商文件的技术服务要求、 供应商的响应文件内容及承诺、合同约定标准进行验收。供应商最终应完成以上 三个中药制剂品种的研发工作，形成备案资料，按照《陕西省医疗机构应用传统工艺配制中药制剂备案管理实施细则》要求完成备案工作，并取得 3 个院内制剂备案号。并协助采购人按陕西省省药品监管理局要求完成该中药制剂品种的备案工作。</w:t>
      </w:r>
    </w:p>
    <w:p w14:paraId="23AF228B">
      <w:pPr>
        <w:autoSpaceDE w:val="0"/>
        <w:autoSpaceDN w:val="0"/>
        <w:adjustRightInd w:val="0"/>
        <w:spacing w:line="348" w:lineRule="auto"/>
        <w:ind w:firstLine="480" w:firstLineChars="200"/>
        <w:rPr>
          <w:rFonts w:hint="eastAsia" w:ascii="宋体" w:hAnsi="宋体"/>
          <w:bCs/>
          <w:color w:val="auto"/>
          <w:sz w:val="24"/>
        </w:rPr>
      </w:pPr>
      <w:r>
        <w:rPr>
          <w:rFonts w:hint="eastAsia" w:ascii="宋体" w:hAnsi="宋体"/>
          <w:bCs/>
          <w:color w:val="auto"/>
          <w:sz w:val="24"/>
          <w:lang w:val="en-US" w:eastAsia="zh-CN"/>
        </w:rPr>
        <w:t>2</w:t>
      </w:r>
      <w:r>
        <w:rPr>
          <w:rFonts w:hint="eastAsia" w:ascii="宋体" w:hAnsi="宋体"/>
          <w:bCs/>
          <w:color w:val="auto"/>
          <w:sz w:val="24"/>
        </w:rPr>
        <w:t>、商务履约验收内容：按国家有关规定以及磋商文件的商务要求、供应 商的响应文件内容及承诺、合同约定标准进行验收。</w:t>
      </w:r>
    </w:p>
    <w:p w14:paraId="1CC197A8">
      <w:pPr>
        <w:autoSpaceDE w:val="0"/>
        <w:autoSpaceDN w:val="0"/>
        <w:adjustRightInd w:val="0"/>
        <w:spacing w:line="348" w:lineRule="auto"/>
        <w:ind w:firstLine="480" w:firstLineChars="200"/>
        <w:rPr>
          <w:rFonts w:hint="eastAsia" w:ascii="宋体" w:hAnsi="宋体"/>
          <w:bCs/>
          <w:color w:val="auto"/>
          <w:sz w:val="24"/>
        </w:rPr>
      </w:pPr>
      <w:r>
        <w:rPr>
          <w:rFonts w:hint="eastAsia" w:ascii="宋体" w:hAnsi="宋体"/>
          <w:bCs/>
          <w:color w:val="auto"/>
          <w:sz w:val="24"/>
          <w:lang w:val="en-US" w:eastAsia="zh-CN"/>
        </w:rPr>
        <w:t>3</w:t>
      </w:r>
      <w:r>
        <w:rPr>
          <w:rFonts w:hint="eastAsia" w:ascii="宋体" w:hAnsi="宋体"/>
          <w:bCs/>
          <w:color w:val="auto"/>
          <w:sz w:val="24"/>
        </w:rPr>
        <w:t>、履约验收标准：以国家有关规定以及磋商文件要求、合同约定为履约 验收标准。双方如对技术服务要求的约定标准有相互抵触或异议的事项，按磋商 文件与响应文件中技术服务要求比较优胜的原则确定该项的验收标准并进行验  收。</w:t>
      </w:r>
    </w:p>
    <w:p w14:paraId="17519BD5">
      <w:pPr>
        <w:autoSpaceDE w:val="0"/>
        <w:autoSpaceDN w:val="0"/>
        <w:adjustRightInd w:val="0"/>
        <w:spacing w:line="348" w:lineRule="auto"/>
        <w:ind w:firstLine="480" w:firstLineChars="200"/>
        <w:rPr>
          <w:rFonts w:hint="eastAsia" w:ascii="宋体" w:hAnsi="宋体"/>
          <w:bCs/>
          <w:color w:val="auto"/>
          <w:sz w:val="24"/>
        </w:rPr>
      </w:pPr>
      <w:r>
        <w:rPr>
          <w:rFonts w:hint="eastAsia" w:ascii="宋体" w:hAnsi="宋体"/>
          <w:bCs/>
          <w:color w:val="auto"/>
          <w:sz w:val="24"/>
          <w:lang w:val="en-US" w:eastAsia="zh-CN"/>
        </w:rPr>
        <w:t>4</w:t>
      </w:r>
      <w:r>
        <w:rPr>
          <w:rFonts w:hint="eastAsia" w:ascii="宋体" w:hAnsi="宋体"/>
          <w:bCs/>
          <w:color w:val="auto"/>
          <w:sz w:val="24"/>
        </w:rPr>
        <w:t>、履约验收其他事项：其他未尽事宜应严格按照财政部关于进一步加强 政府采购需求和履约验收管理的指导意见（财库〔2016〕205 号）的要求进行。</w:t>
      </w:r>
    </w:p>
    <w:p w14:paraId="7B168301">
      <w:pPr>
        <w:autoSpaceDE w:val="0"/>
        <w:autoSpaceDN w:val="0"/>
        <w:adjustRightInd w:val="0"/>
        <w:spacing w:line="348" w:lineRule="auto"/>
        <w:ind w:firstLine="480" w:firstLineChars="200"/>
        <w:rPr>
          <w:rFonts w:hint="eastAsia" w:ascii="宋体" w:hAnsi="宋体" w:cs="宋体"/>
          <w:b w:val="0"/>
          <w:bCs/>
          <w:color w:val="auto"/>
          <w:sz w:val="24"/>
        </w:rPr>
      </w:pPr>
      <w:r>
        <w:rPr>
          <w:rFonts w:hint="eastAsia" w:ascii="宋体" w:hAnsi="宋体"/>
          <w:bCs/>
          <w:color w:val="auto"/>
          <w:sz w:val="24"/>
        </w:rPr>
        <w:t>（三）</w:t>
      </w:r>
      <w:r>
        <w:rPr>
          <w:rFonts w:hint="eastAsia" w:ascii="宋体" w:hAnsi="宋体" w:cs="宋体"/>
          <w:b w:val="0"/>
          <w:bCs/>
          <w:color w:val="auto"/>
          <w:sz w:val="24"/>
        </w:rPr>
        <w:t>验收依据：</w:t>
      </w:r>
    </w:p>
    <w:p w14:paraId="6FF08BAC">
      <w:pPr>
        <w:autoSpaceDE w:val="0"/>
        <w:autoSpaceDN w:val="0"/>
        <w:adjustRightInd w:val="0"/>
        <w:spacing w:line="348" w:lineRule="auto"/>
        <w:ind w:firstLine="480" w:firstLineChars="200"/>
        <w:rPr>
          <w:rFonts w:hint="eastAsia" w:ascii="宋体" w:hAnsi="宋体" w:cs="宋体"/>
          <w:b w:val="0"/>
          <w:bCs/>
          <w:color w:val="auto"/>
          <w:sz w:val="24"/>
        </w:rPr>
      </w:pPr>
      <w:r>
        <w:rPr>
          <w:rFonts w:hint="eastAsia" w:ascii="宋体" w:hAnsi="宋体" w:cs="宋体"/>
          <w:b w:val="0"/>
          <w:bCs/>
          <w:color w:val="auto"/>
          <w:sz w:val="24"/>
        </w:rPr>
        <w:t>1.本合同及附加文本；</w:t>
      </w:r>
    </w:p>
    <w:p w14:paraId="3B74BCA6">
      <w:pPr>
        <w:autoSpaceDE w:val="0"/>
        <w:autoSpaceDN w:val="0"/>
        <w:adjustRightInd w:val="0"/>
        <w:spacing w:line="348" w:lineRule="auto"/>
        <w:ind w:firstLine="480" w:firstLineChars="200"/>
        <w:rPr>
          <w:rFonts w:hint="eastAsia"/>
          <w:color w:val="auto"/>
        </w:rPr>
      </w:pPr>
      <w:r>
        <w:rPr>
          <w:rFonts w:hint="eastAsia" w:ascii="宋体" w:hAnsi="宋体" w:cs="宋体"/>
          <w:b w:val="0"/>
          <w:bCs/>
          <w:color w:val="auto"/>
          <w:sz w:val="24"/>
        </w:rPr>
        <w:t>2.竞争性</w:t>
      </w:r>
      <w:r>
        <w:rPr>
          <w:rFonts w:hint="eastAsia" w:ascii="宋体" w:hAnsi="宋体" w:cs="宋体"/>
          <w:b w:val="0"/>
          <w:bCs/>
          <w:color w:val="auto"/>
          <w:sz w:val="24"/>
          <w:lang w:val="en-US" w:eastAsia="zh-CN"/>
        </w:rPr>
        <w:t>磋商</w:t>
      </w:r>
      <w:r>
        <w:rPr>
          <w:rFonts w:hint="eastAsia" w:ascii="宋体" w:hAnsi="宋体" w:cs="宋体"/>
          <w:b w:val="0"/>
          <w:bCs/>
          <w:color w:val="auto"/>
          <w:sz w:val="24"/>
        </w:rPr>
        <w:t>文件、成交供应商的</w:t>
      </w:r>
      <w:r>
        <w:rPr>
          <w:rFonts w:hint="eastAsia" w:ascii="宋体" w:hAnsi="宋体" w:cs="宋体"/>
          <w:b w:val="0"/>
          <w:bCs/>
          <w:color w:val="auto"/>
          <w:sz w:val="24"/>
          <w:lang w:val="en-US" w:eastAsia="zh-CN"/>
        </w:rPr>
        <w:t>磋商</w:t>
      </w:r>
      <w:r>
        <w:rPr>
          <w:rFonts w:hint="eastAsia" w:ascii="宋体" w:hAnsi="宋体" w:cs="宋体"/>
          <w:b w:val="0"/>
          <w:bCs/>
          <w:color w:val="auto"/>
          <w:sz w:val="24"/>
        </w:rPr>
        <w:t>响应文件及澄清函、承诺函；</w:t>
      </w:r>
    </w:p>
    <w:p w14:paraId="786130D7">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五</w:t>
      </w:r>
      <w:r>
        <w:rPr>
          <w:rFonts w:hint="eastAsia" w:ascii="宋体" w:hAnsi="宋体" w:cs="宋体"/>
          <w:b/>
          <w:bCs/>
          <w:color w:val="auto"/>
          <w:sz w:val="24"/>
        </w:rPr>
        <w:t>、双方的权利和义务</w:t>
      </w:r>
    </w:p>
    <w:p w14:paraId="2AAA8107">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（一）甲方的权利与义务</w:t>
      </w:r>
    </w:p>
    <w:p w14:paraId="14CFAAFB">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1.甲方负责配合本次项目服务工作；</w:t>
      </w:r>
    </w:p>
    <w:p w14:paraId="3E1F45C8">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2.甲方应按本合同的约定向乙方支付合同价款；</w:t>
      </w:r>
    </w:p>
    <w:p w14:paraId="115A74F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3.甲方根据需要对乙方提供的服务方案进行审核，提供建议及意见，确定最终实施的运营服务方案，以便乙方遵照执行；</w:t>
      </w:r>
    </w:p>
    <w:p w14:paraId="76A686EF">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4.甲方有权对乙方的工作进行监督和考核。</w:t>
      </w:r>
    </w:p>
    <w:p w14:paraId="7632619B">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（二）乙方的权利与义务</w:t>
      </w:r>
    </w:p>
    <w:p w14:paraId="1F54FB7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1.乙方的工作人员必须严格遵守甲方的规章制度，以良好的形象和积极的工作态度，按甲方要求开展工作；</w:t>
      </w:r>
    </w:p>
    <w:p w14:paraId="4B48F098">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2.乙方应服从甲方统筹管理并按流程开展工作；</w:t>
      </w:r>
    </w:p>
    <w:p w14:paraId="1DA03BA8">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bCs/>
          <w:color w:val="auto"/>
          <w:sz w:val="24"/>
        </w:rPr>
        <w:t>3.乙方在服务期间发布的任何涉及有关甲方的相关信息，需经甲方确认无误后方可公布。</w:t>
      </w:r>
    </w:p>
    <w:p w14:paraId="49DCA281">
      <w:pPr>
        <w:autoSpaceDE w:val="0"/>
        <w:autoSpaceDN w:val="0"/>
        <w:adjustRightInd w:val="0"/>
        <w:snapToGrid w:val="0"/>
        <w:spacing w:line="360" w:lineRule="auto"/>
        <w:ind w:firstLine="482" w:firstLineChars="200"/>
        <w:rPr>
          <w:rFonts w:hint="eastAsia" w:ascii="宋体" w:hAnsi="宋体" w:cs="宋体"/>
          <w:b/>
          <w:color w:val="auto"/>
          <w:sz w:val="24"/>
        </w:rPr>
      </w:pPr>
      <w:r>
        <w:rPr>
          <w:rFonts w:hint="eastAsia" w:ascii="宋体" w:hAnsi="宋体" w:cs="宋体"/>
          <w:b/>
          <w:color w:val="auto"/>
          <w:sz w:val="24"/>
          <w:lang w:val="en-US" w:eastAsia="zh-CN"/>
        </w:rPr>
        <w:t>六</w:t>
      </w:r>
      <w:r>
        <w:rPr>
          <w:rFonts w:hint="eastAsia" w:ascii="宋体" w:hAnsi="宋体" w:cs="宋体"/>
          <w:b/>
          <w:color w:val="auto"/>
          <w:sz w:val="24"/>
        </w:rPr>
        <w:t>、服务质量保证</w:t>
      </w:r>
    </w:p>
    <w:p w14:paraId="5DECCACE">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（一）乙方需派一名项目负责人，直接与甲方沟通，项目负责人接收甲方提出的问题与要求，并及时反馈给工作组，解决在项目实施过程中遇到的问题。</w:t>
      </w:r>
    </w:p>
    <w:p w14:paraId="711434B0">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（二）项目在实施过程中会出现不可预料的需求变更，乙方需积极配合甲方的需求变更，并按照变更后的需求继续进行方案实施。</w:t>
      </w:r>
    </w:p>
    <w:p w14:paraId="67D2CED3">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（三）乙方需提交所有实施方案流程及说明文档。</w:t>
      </w:r>
    </w:p>
    <w:p w14:paraId="67213CCB">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七</w:t>
      </w:r>
      <w:r>
        <w:rPr>
          <w:rFonts w:hint="eastAsia" w:ascii="宋体" w:hAnsi="宋体" w:cs="宋体"/>
          <w:b/>
          <w:bCs/>
          <w:color w:val="auto"/>
          <w:sz w:val="24"/>
        </w:rPr>
        <w:t>、知识产权</w:t>
      </w:r>
    </w:p>
    <w:p w14:paraId="743A6460">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（一）本项目所涉及到的所有成果的知识产权归甲方所有。 </w:t>
      </w:r>
    </w:p>
    <w:p w14:paraId="6E0CF01F">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（二）乙方无论出于任何目的如在其他地方使用该成果，必须经甲方同意方可使用。否则，贵甲方有权要求终止涉及到该知识产权的任何使用活动并保留追究卖方相应的法律责任的权利。 </w:t>
      </w:r>
    </w:p>
    <w:p w14:paraId="1D19E30E">
      <w:pPr>
        <w:autoSpaceDE w:val="0"/>
        <w:autoSpaceDN w:val="0"/>
        <w:adjustRightInd w:val="0"/>
        <w:snapToGrid w:val="0"/>
        <w:spacing w:line="360" w:lineRule="auto"/>
        <w:ind w:firstLine="480" w:firstLineChars="200"/>
        <w:rPr>
          <w:rFonts w:hint="eastAsia" w:ascii="宋体" w:hAnsi="宋体" w:cs="宋体"/>
          <w:color w:val="auto"/>
          <w:spacing w:val="-17"/>
          <w:sz w:val="24"/>
        </w:rPr>
      </w:pPr>
      <w:r>
        <w:rPr>
          <w:rFonts w:hint="eastAsia" w:ascii="宋体" w:hAnsi="宋体" w:cs="宋体"/>
          <w:color w:val="auto"/>
          <w:sz w:val="24"/>
        </w:rPr>
        <w:t>（三）乙方为执行本合同而提供的技术资料使用权归甲方所有。</w:t>
      </w:r>
    </w:p>
    <w:p w14:paraId="713742B1">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、其它事项</w:t>
      </w:r>
    </w:p>
    <w:p w14:paraId="0442829E">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（一）乙方不得转让、分包给其它单位或个人。</w:t>
      </w:r>
    </w:p>
    <w:p w14:paraId="708FB61D">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（二）乙方的磋商响应文件和承诺等内容将列入合同。</w:t>
      </w:r>
    </w:p>
    <w:p w14:paraId="559708B5">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九</w:t>
      </w:r>
      <w:r>
        <w:rPr>
          <w:rFonts w:hint="eastAsia" w:ascii="宋体" w:hAnsi="宋体" w:cs="宋体"/>
          <w:b/>
          <w:bCs/>
          <w:color w:val="auto"/>
          <w:sz w:val="24"/>
        </w:rPr>
        <w:t>、违约责任</w:t>
      </w:r>
    </w:p>
    <w:p w14:paraId="06AD8D3B">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（一）供应商应在签订合同之日起1年内完成制剂工艺研究，每晚1天采购人扣除未支付的合同款项的万分之五。</w:t>
      </w:r>
      <w:r>
        <w:rPr>
          <w:rFonts w:hint="eastAsia" w:ascii="宋体" w:hAnsi="宋体" w:cs="宋体"/>
          <w:color w:val="auto"/>
          <w:sz w:val="24"/>
          <w:lang w:val="en-US" w:eastAsia="zh-CN"/>
        </w:rPr>
        <w:t>其余</w:t>
      </w:r>
      <w:r>
        <w:rPr>
          <w:rFonts w:hint="eastAsia" w:ascii="宋体" w:hAnsi="宋体" w:cs="宋体"/>
          <w:color w:val="auto"/>
          <w:sz w:val="24"/>
        </w:rPr>
        <w:t>按《</w:t>
      </w:r>
      <w:r>
        <w:rPr>
          <w:rFonts w:hint="eastAsia" w:ascii="宋体" w:hAnsi="宋体" w:cs="宋体"/>
          <w:bCs/>
          <w:color w:val="auto"/>
          <w:sz w:val="24"/>
          <w:highlight w:val="none"/>
        </w:rPr>
        <w:t>中华人民共和国</w:t>
      </w:r>
      <w:r>
        <w:rPr>
          <w:rFonts w:hint="eastAsia" w:ascii="宋体" w:hAnsi="宋体" w:cs="宋体"/>
          <w:bCs/>
          <w:color w:val="auto"/>
          <w:sz w:val="24"/>
          <w:highlight w:val="none"/>
          <w:lang w:val="en-US" w:eastAsia="zh-CN"/>
        </w:rPr>
        <w:t>民法典</w:t>
      </w:r>
      <w:r>
        <w:rPr>
          <w:rFonts w:hint="eastAsia" w:ascii="宋体" w:hAnsi="宋体" w:cs="宋体"/>
          <w:color w:val="auto"/>
          <w:sz w:val="24"/>
        </w:rPr>
        <w:t>》中的相关条款执行。</w:t>
      </w:r>
    </w:p>
    <w:p w14:paraId="09FA3411">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（二）未按合同要求提供服务或服务质量不能满足本次采购要求，甲方会同监督机构、采购代理机构有权终止合同和对乙方违约行为进行追究，同时按政府采购法的有关规定进行相应的处罚。</w:t>
      </w:r>
    </w:p>
    <w:p w14:paraId="2FD3B1B8">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十</w:t>
      </w:r>
      <w:r>
        <w:rPr>
          <w:rFonts w:hint="eastAsia" w:ascii="宋体" w:hAnsi="宋体" w:cs="宋体"/>
          <w:b/>
          <w:bCs/>
          <w:color w:val="auto"/>
          <w:sz w:val="24"/>
        </w:rPr>
        <w:t>、合同争议解决的方式</w:t>
      </w:r>
    </w:p>
    <w:p w14:paraId="36078512">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本合同在履行过程中发生的争议，由甲、乙双方当事人协商解决，协商不成的按下列第</w:t>
      </w:r>
      <w:r>
        <w:rPr>
          <w:rFonts w:hint="eastAsia" w:ascii="宋体" w:hAnsi="宋体" w:cs="宋体"/>
          <w:bCs/>
          <w:color w:val="auto"/>
          <w:sz w:val="24"/>
          <w:u w:val="single"/>
        </w:rPr>
        <w:t xml:space="preserve">      </w:t>
      </w:r>
      <w:r>
        <w:rPr>
          <w:rFonts w:hint="eastAsia" w:ascii="宋体" w:hAnsi="宋体" w:cs="宋体"/>
          <w:bCs/>
          <w:color w:val="auto"/>
          <w:sz w:val="24"/>
        </w:rPr>
        <w:t>种方式解决：</w:t>
      </w:r>
    </w:p>
    <w:p w14:paraId="584FB4F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（一）提交</w:t>
      </w:r>
      <w:r>
        <w:rPr>
          <w:rFonts w:hint="eastAsia" w:ascii="宋体" w:hAnsi="宋体" w:cs="宋体"/>
          <w:bCs/>
          <w:color w:val="auto"/>
          <w:sz w:val="24"/>
          <w:lang w:val="en-US" w:eastAsia="zh-CN"/>
        </w:rPr>
        <w:t>铜川</w:t>
      </w:r>
      <w:r>
        <w:rPr>
          <w:rFonts w:hint="eastAsia" w:ascii="宋体" w:hAnsi="宋体" w:cs="宋体"/>
          <w:bCs/>
          <w:color w:val="auto"/>
          <w:sz w:val="24"/>
        </w:rPr>
        <w:t>市仲裁委员会仲裁；</w:t>
      </w:r>
    </w:p>
    <w:p w14:paraId="7BDAF5AC">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（二）依法向甲方所在地人民法院起诉。</w:t>
      </w:r>
    </w:p>
    <w:p w14:paraId="57EBD924">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rFonts w:hint="eastAsia" w:ascii="宋体" w:hAnsi="宋体" w:cs="宋体"/>
          <w:b/>
          <w:bCs/>
          <w:color w:val="auto"/>
          <w:sz w:val="24"/>
          <w:lang w:val="en-US" w:eastAsia="zh-CN"/>
        </w:rPr>
        <w:t>一</w:t>
      </w:r>
      <w:r>
        <w:rPr>
          <w:rFonts w:hint="eastAsia" w:ascii="宋体" w:hAnsi="宋体" w:cs="宋体"/>
          <w:b/>
          <w:bCs/>
          <w:color w:val="auto"/>
          <w:sz w:val="24"/>
        </w:rPr>
        <w:t>、合同生效</w:t>
      </w:r>
    </w:p>
    <w:p w14:paraId="1FBDE805">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（一）本合同须经甲、乙双方的法定代表人（授权代理人）在合同书上</w:t>
      </w:r>
      <w:r>
        <w:rPr>
          <w:rFonts w:hint="eastAsia" w:ascii="宋体" w:hAnsi="宋体" w:cs="宋体"/>
          <w:bCs/>
          <w:color w:val="auto"/>
          <w:sz w:val="24"/>
          <w:lang w:eastAsia="zh-CN"/>
        </w:rPr>
        <w:t>签字或签章</w:t>
      </w:r>
      <w:r>
        <w:rPr>
          <w:rFonts w:hint="eastAsia" w:ascii="宋体" w:hAnsi="宋体" w:cs="宋体"/>
          <w:bCs/>
          <w:color w:val="auto"/>
          <w:sz w:val="24"/>
        </w:rPr>
        <w:t>并加盖本单位公章后正式生效。</w:t>
      </w:r>
    </w:p>
    <w:p w14:paraId="61E5E1D3">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（二）合同生效后，甲、乙双方须严格执行本合同条款的规定，全面履行合同，违者按《中华人民共和国</w:t>
      </w:r>
      <w:r>
        <w:rPr>
          <w:rFonts w:hint="eastAsia" w:hAnsi="宋体" w:cs="宋体"/>
          <w:bCs/>
          <w:color w:val="auto"/>
          <w:sz w:val="24"/>
          <w:lang w:val="en-US" w:eastAsia="zh-CN"/>
        </w:rPr>
        <w:t>民法典</w:t>
      </w:r>
      <w:r>
        <w:rPr>
          <w:rFonts w:hint="eastAsia" w:ascii="宋体" w:hAnsi="宋体" w:cs="宋体"/>
          <w:bCs/>
          <w:color w:val="auto"/>
          <w:sz w:val="24"/>
        </w:rPr>
        <w:t>》的有关规定承担相应责任。</w:t>
      </w:r>
    </w:p>
    <w:p w14:paraId="63D6D4E5">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（三）本合同一式</w:t>
      </w:r>
      <w:r>
        <w:rPr>
          <w:rFonts w:hint="eastAsia" w:ascii="宋体" w:hAnsi="宋体" w:cs="宋体"/>
          <w:bCs/>
          <w:color w:val="auto"/>
          <w:sz w:val="24"/>
          <w:u w:val="single"/>
        </w:rPr>
        <w:t xml:space="preserve">   </w:t>
      </w:r>
      <w:r>
        <w:rPr>
          <w:rFonts w:hint="eastAsia" w:ascii="宋体" w:hAnsi="宋体" w:cs="宋体"/>
          <w:bCs/>
          <w:color w:val="auto"/>
          <w:sz w:val="24"/>
        </w:rPr>
        <w:t>份，甲乙双方各执</w:t>
      </w:r>
      <w:r>
        <w:rPr>
          <w:rFonts w:hint="eastAsia" w:ascii="宋体" w:hAnsi="宋体" w:cs="宋体"/>
          <w:bCs/>
          <w:color w:val="auto"/>
          <w:sz w:val="24"/>
          <w:u w:val="single"/>
        </w:rPr>
        <w:t xml:space="preserve">    </w:t>
      </w:r>
      <w:r>
        <w:rPr>
          <w:rFonts w:hint="eastAsia" w:ascii="宋体" w:hAnsi="宋体" w:cs="宋体"/>
          <w:bCs/>
          <w:color w:val="auto"/>
          <w:sz w:val="24"/>
        </w:rPr>
        <w:t>份。</w:t>
      </w:r>
    </w:p>
    <w:p w14:paraId="111F5C8F">
      <w:pPr>
        <w:autoSpaceDE w:val="0"/>
        <w:autoSpaceDN w:val="0"/>
        <w:adjustRightInd w:val="0"/>
        <w:spacing w:line="360" w:lineRule="auto"/>
        <w:ind w:firstLine="480" w:firstLineChars="200"/>
        <w:rPr>
          <w:rFonts w:hint="eastAsia" w:ascii="宋体" w:hAnsi="宋体" w:cs="宋体"/>
          <w:bCs/>
          <w:color w:val="auto"/>
          <w:sz w:val="24"/>
          <w:szCs w:val="24"/>
        </w:rPr>
      </w:pPr>
      <w:r>
        <w:rPr>
          <w:rFonts w:hint="eastAsia" w:ascii="宋体" w:hAnsi="宋体" w:cs="宋体"/>
          <w:bCs/>
          <w:color w:val="auto"/>
          <w:sz w:val="24"/>
          <w:szCs w:val="24"/>
        </w:rPr>
        <w:t>（四）本合同如有未尽事宜，甲、乙双方协商解决</w:t>
      </w:r>
      <w:r>
        <w:rPr>
          <w:rFonts w:hint="eastAsia" w:ascii="宋体" w:hAnsi="宋体" w:cs="宋体"/>
          <w:bCs/>
          <w:color w:val="auto"/>
          <w:sz w:val="28"/>
          <w:szCs w:val="28"/>
        </w:rPr>
        <w:t>。</w:t>
      </w:r>
      <w:r>
        <w:rPr>
          <w:rFonts w:hint="eastAsia" w:ascii="宋体" w:hAnsi="宋体" w:cs="宋体"/>
          <w:bCs/>
          <w:color w:val="auto"/>
          <w:sz w:val="24"/>
          <w:highlight w:val="none"/>
        </w:rPr>
        <w:t xml:space="preserve"> </w:t>
      </w:r>
    </w:p>
    <w:tbl>
      <w:tblPr>
        <w:tblStyle w:val="11"/>
        <w:tblW w:w="0" w:type="auto"/>
        <w:jc w:val="center"/>
        <w:tblLayout w:type="fixed"/>
        <w:tblCellMar>
          <w:top w:w="0" w:type="dxa"/>
          <w:left w:w="108" w:type="dxa"/>
          <w:bottom w:w="0" w:type="dxa"/>
          <w:right w:w="108" w:type="dxa"/>
        </w:tblCellMar>
      </w:tblPr>
      <w:tblGrid>
        <w:gridCol w:w="4199"/>
        <w:gridCol w:w="4200"/>
      </w:tblGrid>
      <w:tr w14:paraId="12E61F93">
        <w:tblPrEx>
          <w:tblCellMar>
            <w:top w:w="0" w:type="dxa"/>
            <w:left w:w="108" w:type="dxa"/>
            <w:bottom w:w="0" w:type="dxa"/>
            <w:right w:w="108" w:type="dxa"/>
          </w:tblCellMar>
        </w:tblPrEx>
        <w:trPr>
          <w:trHeight w:val="541" w:hRule="exact"/>
          <w:jc w:val="center"/>
        </w:trPr>
        <w:tc>
          <w:tcPr>
            <w:tcW w:w="4199" w:type="dxa"/>
            <w:noWrap w:val="0"/>
            <w:vAlign w:val="center"/>
          </w:tcPr>
          <w:p w14:paraId="57BDB201">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0" w:type="dxa"/>
            <w:noWrap w:val="0"/>
            <w:vAlign w:val="center"/>
          </w:tcPr>
          <w:p w14:paraId="24A2366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bookmarkStart w:id="1" w:name="_GoBack"/>
            <w:bookmarkEnd w:id="1"/>
          </w:p>
        </w:tc>
      </w:tr>
      <w:tr w14:paraId="03A5FFD9">
        <w:tblPrEx>
          <w:tblCellMar>
            <w:top w:w="0" w:type="dxa"/>
            <w:left w:w="108" w:type="dxa"/>
            <w:bottom w:w="0" w:type="dxa"/>
            <w:right w:w="108" w:type="dxa"/>
          </w:tblCellMar>
        </w:tblPrEx>
        <w:trPr>
          <w:trHeight w:val="541" w:hRule="exact"/>
          <w:jc w:val="center"/>
        </w:trPr>
        <w:tc>
          <w:tcPr>
            <w:tcW w:w="4199" w:type="dxa"/>
            <w:noWrap w:val="0"/>
            <w:vAlign w:val="center"/>
          </w:tcPr>
          <w:p w14:paraId="6B04383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0" w:type="dxa"/>
            <w:noWrap w:val="0"/>
            <w:vAlign w:val="center"/>
          </w:tcPr>
          <w:p w14:paraId="7F737D5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52ED6524">
        <w:tblPrEx>
          <w:tblCellMar>
            <w:top w:w="0" w:type="dxa"/>
            <w:left w:w="108" w:type="dxa"/>
            <w:bottom w:w="0" w:type="dxa"/>
            <w:right w:w="108" w:type="dxa"/>
          </w:tblCellMar>
        </w:tblPrEx>
        <w:trPr>
          <w:trHeight w:val="541" w:hRule="exact"/>
          <w:jc w:val="center"/>
        </w:trPr>
        <w:tc>
          <w:tcPr>
            <w:tcW w:w="4199" w:type="dxa"/>
            <w:noWrap w:val="0"/>
            <w:vAlign w:val="center"/>
          </w:tcPr>
          <w:p w14:paraId="18D80FF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0" w:type="dxa"/>
            <w:noWrap w:val="0"/>
            <w:vAlign w:val="center"/>
          </w:tcPr>
          <w:p w14:paraId="43B3F827">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E0C3D2C">
        <w:tblPrEx>
          <w:tblCellMar>
            <w:top w:w="0" w:type="dxa"/>
            <w:left w:w="108" w:type="dxa"/>
            <w:bottom w:w="0" w:type="dxa"/>
            <w:right w:w="108" w:type="dxa"/>
          </w:tblCellMar>
        </w:tblPrEx>
        <w:trPr>
          <w:trHeight w:val="541" w:hRule="exact"/>
          <w:jc w:val="center"/>
        </w:trPr>
        <w:tc>
          <w:tcPr>
            <w:tcW w:w="4199" w:type="dxa"/>
            <w:noWrap w:val="0"/>
            <w:vAlign w:val="center"/>
          </w:tcPr>
          <w:p w14:paraId="67173EA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0" w:type="dxa"/>
            <w:noWrap w:val="0"/>
            <w:vAlign w:val="center"/>
          </w:tcPr>
          <w:p w14:paraId="5EB43FB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487D13BC">
        <w:tblPrEx>
          <w:tblCellMar>
            <w:top w:w="0" w:type="dxa"/>
            <w:left w:w="108" w:type="dxa"/>
            <w:bottom w:w="0" w:type="dxa"/>
            <w:right w:w="108" w:type="dxa"/>
          </w:tblCellMar>
        </w:tblPrEx>
        <w:trPr>
          <w:trHeight w:val="541" w:hRule="exact"/>
          <w:jc w:val="center"/>
        </w:trPr>
        <w:tc>
          <w:tcPr>
            <w:tcW w:w="4199" w:type="dxa"/>
            <w:noWrap w:val="0"/>
            <w:vAlign w:val="center"/>
          </w:tcPr>
          <w:p w14:paraId="42D73D7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0" w:type="dxa"/>
            <w:noWrap w:val="0"/>
            <w:vAlign w:val="center"/>
          </w:tcPr>
          <w:p w14:paraId="262654E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4E5327AC">
        <w:tblPrEx>
          <w:tblCellMar>
            <w:top w:w="0" w:type="dxa"/>
            <w:left w:w="108" w:type="dxa"/>
            <w:bottom w:w="0" w:type="dxa"/>
            <w:right w:w="108" w:type="dxa"/>
          </w:tblCellMar>
        </w:tblPrEx>
        <w:trPr>
          <w:trHeight w:val="541" w:hRule="exact"/>
          <w:jc w:val="center"/>
        </w:trPr>
        <w:tc>
          <w:tcPr>
            <w:tcW w:w="4199" w:type="dxa"/>
            <w:noWrap w:val="0"/>
            <w:vAlign w:val="center"/>
          </w:tcPr>
          <w:p w14:paraId="0559038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0" w:type="dxa"/>
            <w:noWrap w:val="0"/>
            <w:vAlign w:val="center"/>
          </w:tcPr>
          <w:p w14:paraId="6A29DF3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51C7F69B">
        <w:tblPrEx>
          <w:tblCellMar>
            <w:top w:w="0" w:type="dxa"/>
            <w:left w:w="108" w:type="dxa"/>
            <w:bottom w:w="0" w:type="dxa"/>
            <w:right w:w="108" w:type="dxa"/>
          </w:tblCellMar>
        </w:tblPrEx>
        <w:trPr>
          <w:trHeight w:val="541" w:hRule="exact"/>
          <w:jc w:val="center"/>
        </w:trPr>
        <w:tc>
          <w:tcPr>
            <w:tcW w:w="4199" w:type="dxa"/>
            <w:noWrap w:val="0"/>
            <w:vAlign w:val="center"/>
          </w:tcPr>
          <w:p w14:paraId="39709DA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0" w:type="dxa"/>
            <w:noWrap w:val="0"/>
            <w:vAlign w:val="center"/>
          </w:tcPr>
          <w:p w14:paraId="29C0A04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4B73ADCC">
        <w:tblPrEx>
          <w:tblCellMar>
            <w:top w:w="0" w:type="dxa"/>
            <w:left w:w="108" w:type="dxa"/>
            <w:bottom w:w="0" w:type="dxa"/>
            <w:right w:w="108" w:type="dxa"/>
          </w:tblCellMar>
        </w:tblPrEx>
        <w:trPr>
          <w:trHeight w:val="541" w:hRule="exact"/>
          <w:jc w:val="center"/>
        </w:trPr>
        <w:tc>
          <w:tcPr>
            <w:tcW w:w="4199" w:type="dxa"/>
            <w:noWrap w:val="0"/>
            <w:vAlign w:val="center"/>
          </w:tcPr>
          <w:p w14:paraId="5AB4C41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0" w:type="dxa"/>
            <w:noWrap w:val="0"/>
            <w:vAlign w:val="center"/>
          </w:tcPr>
          <w:p w14:paraId="51A3749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5C5F3100">
        <w:tblPrEx>
          <w:tblCellMar>
            <w:top w:w="0" w:type="dxa"/>
            <w:left w:w="108" w:type="dxa"/>
            <w:bottom w:w="0" w:type="dxa"/>
            <w:right w:w="108" w:type="dxa"/>
          </w:tblCellMar>
        </w:tblPrEx>
        <w:trPr>
          <w:trHeight w:val="541" w:hRule="exact"/>
          <w:jc w:val="center"/>
        </w:trPr>
        <w:tc>
          <w:tcPr>
            <w:tcW w:w="4199" w:type="dxa"/>
            <w:noWrap w:val="0"/>
            <w:vAlign w:val="center"/>
          </w:tcPr>
          <w:p w14:paraId="62F6031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0" w:type="dxa"/>
            <w:noWrap w:val="0"/>
            <w:vAlign w:val="center"/>
          </w:tcPr>
          <w:p w14:paraId="373575D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10A4BFCC">
        <w:tblPrEx>
          <w:tblCellMar>
            <w:top w:w="0" w:type="dxa"/>
            <w:left w:w="108" w:type="dxa"/>
            <w:bottom w:w="0" w:type="dxa"/>
            <w:right w:w="108" w:type="dxa"/>
          </w:tblCellMar>
        </w:tblPrEx>
        <w:trPr>
          <w:trHeight w:val="541" w:hRule="exact"/>
          <w:jc w:val="center"/>
        </w:trPr>
        <w:tc>
          <w:tcPr>
            <w:tcW w:w="4199" w:type="dxa"/>
            <w:noWrap w:val="0"/>
            <w:vAlign w:val="center"/>
          </w:tcPr>
          <w:p w14:paraId="3A6A24E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0" w:type="dxa"/>
            <w:noWrap w:val="0"/>
            <w:vAlign w:val="center"/>
          </w:tcPr>
          <w:p w14:paraId="1E5C9BB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3BBD0126">
        <w:tblPrEx>
          <w:tblCellMar>
            <w:top w:w="0" w:type="dxa"/>
            <w:left w:w="108" w:type="dxa"/>
            <w:bottom w:w="0" w:type="dxa"/>
            <w:right w:w="108" w:type="dxa"/>
          </w:tblCellMar>
        </w:tblPrEx>
        <w:trPr>
          <w:trHeight w:val="541" w:hRule="exact"/>
          <w:jc w:val="center"/>
        </w:trPr>
        <w:tc>
          <w:tcPr>
            <w:tcW w:w="4199" w:type="dxa"/>
            <w:noWrap w:val="0"/>
            <w:vAlign w:val="center"/>
          </w:tcPr>
          <w:p w14:paraId="6AC1BE4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0" w:type="dxa"/>
            <w:noWrap w:val="0"/>
            <w:vAlign w:val="center"/>
          </w:tcPr>
          <w:p w14:paraId="4F4D58A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2ACD3E40">
      <w:pPr>
        <w:rPr>
          <w:rFonts w:hint="eastAsia" w:ascii="宋体" w:hAnsi="宋体" w:cs="宋体"/>
          <w:bCs/>
          <w:color w:val="auto"/>
          <w:sz w:val="24"/>
        </w:rPr>
      </w:pPr>
    </w:p>
    <w:p w14:paraId="61DA3C0B">
      <w:pPr>
        <w:bidi w:val="0"/>
        <w:rPr>
          <w:rFonts w:hint="eastAsia"/>
          <w:highlight w:val="none"/>
        </w:rPr>
      </w:pPr>
      <w:r>
        <w:rPr>
          <w:rFonts w:hint="eastAsia" w:ascii="宋体" w:hAnsi="宋体" w:cs="宋体"/>
          <w:bCs/>
          <w:color w:val="auto"/>
          <w:sz w:val="24"/>
        </w:rPr>
        <w:t>备注：合同模板仅供参考，具体以实际签订合同为准。</w:t>
      </w:r>
    </w:p>
    <w:p w14:paraId="16FD6BBD"/>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9085BF"/>
    <w:multiLevelType w:val="singleLevel"/>
    <w:tmpl w:val="409085BF"/>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AD64DF"/>
    <w:rsid w:val="05C810FF"/>
    <w:rsid w:val="0ADE34F7"/>
    <w:rsid w:val="0CA653DC"/>
    <w:rsid w:val="0E274C11"/>
    <w:rsid w:val="11F33501"/>
    <w:rsid w:val="196640D0"/>
    <w:rsid w:val="1CB93D9D"/>
    <w:rsid w:val="1D48524C"/>
    <w:rsid w:val="1ECD5B85"/>
    <w:rsid w:val="22F664C5"/>
    <w:rsid w:val="243E5891"/>
    <w:rsid w:val="24CA4BBB"/>
    <w:rsid w:val="25273966"/>
    <w:rsid w:val="283050FB"/>
    <w:rsid w:val="2975156E"/>
    <w:rsid w:val="2D7C41E1"/>
    <w:rsid w:val="32A83CD6"/>
    <w:rsid w:val="34420C73"/>
    <w:rsid w:val="34DA0A32"/>
    <w:rsid w:val="35EC7D14"/>
    <w:rsid w:val="360E18B1"/>
    <w:rsid w:val="38145E0A"/>
    <w:rsid w:val="3B7B35B3"/>
    <w:rsid w:val="3BF3011D"/>
    <w:rsid w:val="3EC13E81"/>
    <w:rsid w:val="455C75A3"/>
    <w:rsid w:val="45F92501"/>
    <w:rsid w:val="4D1D7170"/>
    <w:rsid w:val="4D646013"/>
    <w:rsid w:val="4F6944D6"/>
    <w:rsid w:val="542D3DC5"/>
    <w:rsid w:val="57923690"/>
    <w:rsid w:val="5D632CDE"/>
    <w:rsid w:val="5D8339B2"/>
    <w:rsid w:val="5EF37821"/>
    <w:rsid w:val="61D36C4B"/>
    <w:rsid w:val="61EC24E5"/>
    <w:rsid w:val="67984807"/>
    <w:rsid w:val="690C1382"/>
    <w:rsid w:val="6BA918F3"/>
    <w:rsid w:val="6C775A02"/>
    <w:rsid w:val="6CB20263"/>
    <w:rsid w:val="6E3B0847"/>
    <w:rsid w:val="71310596"/>
    <w:rsid w:val="74DD3202"/>
    <w:rsid w:val="77062109"/>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15"/>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16"/>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2">
    <w:name w:val="Default Paragraph Font"/>
    <w:autoRedefine/>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7">
    <w:name w:val="Body Text Indent"/>
    <w:basedOn w:val="1"/>
    <w:next w:val="2"/>
    <w:autoRedefine/>
    <w:qFormat/>
    <w:uiPriority w:val="0"/>
    <w:pPr>
      <w:ind w:firstLine="630"/>
    </w:pPr>
    <w:rPr>
      <w:sz w:val="32"/>
      <w:szCs w:val="20"/>
    </w:rPr>
  </w:style>
  <w:style w:type="paragraph" w:styleId="8">
    <w:name w:val="footer"/>
    <w:basedOn w:val="1"/>
    <w:autoRedefine/>
    <w:qFormat/>
    <w:uiPriority w:val="0"/>
    <w:pPr>
      <w:tabs>
        <w:tab w:val="center" w:pos="4153"/>
        <w:tab w:val="right" w:pos="8306"/>
      </w:tabs>
      <w:snapToGrid w:val="0"/>
      <w:jc w:val="left"/>
    </w:pPr>
    <w:rPr>
      <w:sz w:val="18"/>
      <w:szCs w:val="20"/>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7"/>
    <w:next w:val="1"/>
    <w:qFormat/>
    <w:uiPriority w:val="0"/>
    <w:pPr>
      <w:spacing w:before="50"/>
      <w:ind w:firstLine="200" w:firstLineChars="200"/>
    </w:pPr>
    <w:rPr>
      <w:rFonts w:ascii="Times New Roman" w:hAnsi="Times New Roman" w:eastAsia="宋体" w:cs="Times New Roman"/>
      <w:lang w:bidi="ar-SA"/>
    </w:rPr>
  </w:style>
  <w:style w:type="paragraph" w:customStyle="1" w:styleId="13">
    <w:name w:val="TOC 标题1"/>
    <w:basedOn w:val="3"/>
    <w:next w:val="1"/>
    <w:autoRedefine/>
    <w:unhideWhenUsed/>
    <w:qFormat/>
    <w:uiPriority w:val="39"/>
    <w:pPr>
      <w:outlineLvl w:val="9"/>
    </w:pPr>
  </w:style>
  <w:style w:type="character" w:customStyle="1" w:styleId="14">
    <w:name w:val="标题 1 Char"/>
    <w:basedOn w:val="12"/>
    <w:link w:val="3"/>
    <w:qFormat/>
    <w:uiPriority w:val="0"/>
    <w:rPr>
      <w:rFonts w:hint="eastAsia" w:ascii="PMingLiU" w:hAnsi="PMingLiU" w:eastAsia="宋体" w:cs="PMingLiU"/>
      <w:b/>
      <w:bCs/>
      <w:kern w:val="44"/>
      <w:sz w:val="30"/>
      <w:szCs w:val="32"/>
      <w:lang w:eastAsia="en-US"/>
    </w:rPr>
  </w:style>
  <w:style w:type="character" w:customStyle="1" w:styleId="15">
    <w:name w:val="标题 2 Char"/>
    <w:link w:val="4"/>
    <w:autoRedefine/>
    <w:qFormat/>
    <w:uiPriority w:val="0"/>
    <w:rPr>
      <w:rFonts w:ascii="宋体" w:hAnsi="宋体" w:eastAsia="宋体" w:cs="Times New Roman"/>
      <w:b/>
      <w:bCs/>
      <w:kern w:val="2"/>
      <w:sz w:val="28"/>
      <w:szCs w:val="32"/>
      <w:lang w:val="en-US" w:eastAsia="zh-CN" w:bidi="ar-SA"/>
    </w:rPr>
  </w:style>
  <w:style w:type="character" w:customStyle="1" w:styleId="16">
    <w:name w:val="标题 3 Char"/>
    <w:link w:val="5"/>
    <w:qFormat/>
    <w:uiPriority w:val="0"/>
    <w:rPr>
      <w:rFonts w:ascii="Times New Roman" w:hAnsi="Times New Roman" w:eastAsia="宋体"/>
      <w:b/>
      <w:bCs/>
      <w:kern w:val="2"/>
      <w:sz w:val="28"/>
      <w:szCs w:val="24"/>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1503</Words>
  <Characters>1526</Characters>
  <Lines>0</Lines>
  <Paragraphs>0</Paragraphs>
  <TotalTime>4</TotalTime>
  <ScaleCrop>false</ScaleCrop>
  <LinksUpToDate>false</LinksUpToDate>
  <CharactersWithSpaces>1645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vivie</cp:lastModifiedBy>
  <dcterms:modified xsi:type="dcterms:W3CDTF">2025-07-28T08:33:01Z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F0D4B88894674CE39A0C5BF60E42EA36_11</vt:lpwstr>
  </property>
  <property fmtid="{D5CDD505-2E9C-101B-9397-08002B2CF9AE}" pid="4" name="KSOTemplateDocerSaveRecord">
    <vt:lpwstr>eyJoZGlkIjoiZmE1NDk1Nzc4ODgwMzA2NTdlMzMyYWJiMTdlNDg5YTciLCJ1c2VySWQiOiI5MzI2NzcyMjUifQ==</vt:lpwstr>
  </property>
</Properties>
</file>