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版本号：MZ2025-CS104720250718002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操场、学生宿舍维修项目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MZ2025-CS1047</w:t>
      </w:r>
      <w:r>
        <w:br/>
      </w:r>
      <w:r>
        <w:br/>
      </w:r>
      <w:r>
        <w:br/>
      </w:r>
    </w:p>
    <w:p>
      <w:pPr>
        <w:pStyle w:val="null3"/>
        <w:jc w:val="center"/>
        <w:outlineLvl w:val="2"/>
      </w:pPr>
      <w:r>
        <w:rPr>
          <w:rFonts w:ascii="仿宋_GB2312" w:hAnsi="仿宋_GB2312" w:cs="仿宋_GB2312" w:eastAsia="仿宋_GB2312"/>
          <w:sz w:val="28"/>
          <w:b/>
        </w:rPr>
        <w:t>铜川市耀州区庙湾镇庙湾初级中学</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铜川市耀州区庙湾镇庙湾初级中学</w:t>
      </w:r>
      <w:r>
        <w:rPr>
          <w:rFonts w:ascii="仿宋_GB2312" w:hAnsi="仿宋_GB2312" w:cs="仿宋_GB2312" w:eastAsia="仿宋_GB2312"/>
        </w:rPr>
        <w:t>委托，拟对</w:t>
      </w:r>
      <w:r>
        <w:rPr>
          <w:rFonts w:ascii="仿宋_GB2312" w:hAnsi="仿宋_GB2312" w:cs="仿宋_GB2312" w:eastAsia="仿宋_GB2312"/>
        </w:rPr>
        <w:t>操场、学生宿舍维修项目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MZ2025-CS1047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操场、学生宿舍维修项目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庙湾初级中学操场、学生宿舍维修项目，建设地点在铜川市耀州区庙湾镇。此次维修的主要内容有:1、学生宿舍楼内墙面、顶棚饰新改造，外墙真石漆饰新，更换落水管，外墙勒脚贴面砖，内墙裙仿木纹水泥墙裙，门窗更换;2、操场改造设计范围内全部内容，面积3176.85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采购包1（操场、学生宿舍维修项目）：属于专门面向中小企业采购。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1、法定代表人身份证明/法定代表人授权委托书：法定代表人直接参加磋商的，须出具法定代表人身份证明及法人身份证；法定代表人授权代表参加磋商的，须出具法定代表人授权书及法人和授权代表身份证。</w:t>
      </w:r>
    </w:p>
    <w:p>
      <w:pPr>
        <w:pStyle w:val="null3"/>
      </w:pPr>
      <w:r>
        <w:rPr>
          <w:rFonts w:ascii="仿宋_GB2312" w:hAnsi="仿宋_GB2312" w:cs="仿宋_GB2312" w:eastAsia="仿宋_GB2312"/>
        </w:rPr>
        <w:t>2、施工资质：供应商应具有建设行政主管部门核发的建筑工程施工总承包三级及以上（含三级）资质。</w:t>
      </w:r>
    </w:p>
    <w:p>
      <w:pPr>
        <w:pStyle w:val="null3"/>
      </w:pPr>
      <w:r>
        <w:rPr>
          <w:rFonts w:ascii="仿宋_GB2312" w:hAnsi="仿宋_GB2312" w:cs="仿宋_GB2312" w:eastAsia="仿宋_GB2312"/>
        </w:rPr>
        <w:t>3、安全生产许可证：供应商应具有建设行政主管部门颁发的安全生产许可证。</w:t>
      </w:r>
    </w:p>
    <w:p>
      <w:pPr>
        <w:pStyle w:val="null3"/>
      </w:pPr>
      <w:r>
        <w:rPr>
          <w:rFonts w:ascii="仿宋_GB2312" w:hAnsi="仿宋_GB2312" w:cs="仿宋_GB2312" w:eastAsia="仿宋_GB2312"/>
        </w:rPr>
        <w:t>4、拟派项目负责人资质和专业要求：供应商拟派项目负责人需具备建筑工程专业二级及以上建造师证书和安全生产考核合格证，并提供无在建工程承诺。</w:t>
      </w:r>
    </w:p>
    <w:p>
      <w:pPr>
        <w:pStyle w:val="null3"/>
      </w:pPr>
      <w:r>
        <w:rPr>
          <w:rFonts w:ascii="仿宋_GB2312" w:hAnsi="仿宋_GB2312" w:cs="仿宋_GB2312" w:eastAsia="仿宋_GB2312"/>
        </w:rPr>
        <w:t>5、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铜川市耀州区庙湾镇庙湾初级中学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耀州区庙湾镇庙湾村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杨高峰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13991585125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 韩乐乐 乔艳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采购包1：1,977,381.13元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具体金额将在结果公告中公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铜川市耀州区庙湾镇庙湾初级中学</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铜川市耀州区庙湾镇庙湾初级中学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铜川市耀州区庙湾镇庙湾初级中学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一、符合国家相关工程验收合格标准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联系人：韩微 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1,977,381.13</w:t>
      </w:r>
    </w:p>
    <w:p>
      <w:pPr>
        <w:pStyle w:val="null3"/>
      </w:pPr>
      <w:r>
        <w:rPr>
          <w:rFonts w:ascii="仿宋_GB2312" w:hAnsi="仿宋_GB2312" w:cs="仿宋_GB2312" w:eastAsia="仿宋_GB2312"/>
        </w:rPr>
        <w:t>采购包最高限价（元）: 1,977,381.13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铜川市耀州区庙湾镇庙湾初级中学操场、学生宿舍维修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1,977,381.13</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标的名称：铜川市耀州区庙湾镇庙湾初级中学操场、学生宿舍维修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rPr>
              <w:t>1、</w:t>
            </w:r>
            <w:r>
              <w:rPr>
                <w:rFonts w:ascii="仿宋_GB2312" w:hAnsi="仿宋_GB2312" w:cs="仿宋_GB2312" w:eastAsia="仿宋_GB2312"/>
              </w:rPr>
              <w:t>工期</w:t>
            </w:r>
            <w:r>
              <w:rPr>
                <w:rFonts w:ascii="仿宋_GB2312" w:hAnsi="仿宋_GB2312" w:cs="仿宋_GB2312" w:eastAsia="仿宋_GB2312"/>
              </w:rPr>
              <w:t>：</w:t>
            </w:r>
            <w:r>
              <w:rPr>
                <w:rFonts w:ascii="仿宋_GB2312" w:hAnsi="仿宋_GB2312" w:cs="仿宋_GB2312" w:eastAsia="仿宋_GB2312"/>
              </w:rPr>
              <w:t>45</w:t>
            </w:r>
            <w:r>
              <w:rPr>
                <w:rFonts w:ascii="仿宋_GB2312" w:hAnsi="仿宋_GB2312" w:cs="仿宋_GB2312" w:eastAsia="仿宋_GB2312"/>
              </w:rPr>
              <w:t>天；</w:t>
            </w:r>
          </w:p>
          <w:p>
            <w:pPr>
              <w:pStyle w:val="null3"/>
            </w:pPr>
            <w:r>
              <w:rPr>
                <w:rFonts w:ascii="仿宋_GB2312" w:hAnsi="仿宋_GB2312" w:cs="仿宋_GB2312" w:eastAsia="仿宋_GB2312"/>
              </w:rPr>
              <w:t>2、</w:t>
            </w:r>
            <w:r>
              <w:rPr>
                <w:rFonts w:ascii="仿宋_GB2312" w:hAnsi="仿宋_GB2312" w:cs="仿宋_GB2312" w:eastAsia="仿宋_GB2312"/>
              </w:rPr>
              <w:t>施工</w:t>
            </w:r>
            <w:r>
              <w:rPr>
                <w:rFonts w:ascii="仿宋_GB2312" w:hAnsi="仿宋_GB2312" w:cs="仿宋_GB2312" w:eastAsia="仿宋_GB2312"/>
              </w:rPr>
              <w:t>地点：</w:t>
            </w:r>
            <w:r>
              <w:rPr>
                <w:rFonts w:ascii="仿宋_GB2312" w:hAnsi="仿宋_GB2312" w:cs="仿宋_GB2312" w:eastAsia="仿宋_GB2312"/>
              </w:rPr>
              <w:t>耀州区庙湾镇庙湾村铜川市耀州区庙湾镇庙湾初级中学</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工程质量要求：达到国家及行业现行技术规范标准，符合国家及行业验收合格标准。</w:t>
            </w:r>
          </w:p>
          <w:p>
            <w:pPr>
              <w:pStyle w:val="null3"/>
            </w:pPr>
            <w:r>
              <w:rPr>
                <w:rFonts w:ascii="仿宋_GB2312" w:hAnsi="仿宋_GB2312" w:cs="仿宋_GB2312" w:eastAsia="仿宋_GB2312"/>
              </w:rPr>
              <w:t>4、</w:t>
            </w:r>
            <w:r>
              <w:rPr>
                <w:rFonts w:ascii="仿宋_GB2312" w:hAnsi="仿宋_GB2312" w:cs="仿宋_GB2312" w:eastAsia="仿宋_GB2312"/>
              </w:rPr>
              <w:t>质量保修范围和保修期：</w:t>
            </w:r>
            <w:r>
              <w:rPr>
                <w:rFonts w:ascii="仿宋_GB2312" w:hAnsi="仿宋_GB2312" w:cs="仿宋_GB2312" w:eastAsia="仿宋_GB2312"/>
              </w:rPr>
              <w:t>针对学生宿舍楼与操场改造项目，提供不少于两年的免费质保期，质保期内对因施工质量或材料质量问题导致的墙面开裂、脱落、空鼓、漏水，外墙真石漆褪色、起皮，落水管堵塞、破损，面砖松动、脱落，内墙裙变形、损坏等现象负责免费维修</w:t>
            </w:r>
            <w:r>
              <w:rPr>
                <w:rFonts w:ascii="仿宋_GB2312" w:hAnsi="仿宋_GB2312" w:cs="仿宋_GB2312" w:eastAsia="仿宋_GB2312"/>
              </w:rPr>
              <w:t>;针对操场改造项目，提供不少于三年的免费质保期，质保期内对塑胶跑道起泡、开裂、磨损超标，人造草坪褪色秃毛、平整度偏差过大，健身器材损坏、松动，排水系统堵塞、漏等问题提供免费维修服务</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支付方式：分期付款；</w:t>
            </w:r>
          </w:p>
          <w:p>
            <w:pPr>
              <w:pStyle w:val="null3"/>
            </w:pPr>
            <w:r>
              <w:rPr>
                <w:rFonts w:ascii="仿宋_GB2312" w:hAnsi="仿宋_GB2312" w:cs="仿宋_GB2312" w:eastAsia="仿宋_GB2312"/>
              </w:rPr>
              <w:t>6、</w:t>
            </w:r>
            <w:r>
              <w:rPr>
                <w:rFonts w:ascii="仿宋_GB2312" w:hAnsi="仿宋_GB2312" w:cs="仿宋_GB2312" w:eastAsia="仿宋_GB2312"/>
              </w:rPr>
              <w:t>合同支付约定：</w:t>
            </w:r>
            <w:r>
              <w:rPr>
                <w:rFonts w:ascii="仿宋_GB2312" w:hAnsi="仿宋_GB2312" w:cs="仿宋_GB2312" w:eastAsia="仿宋_GB2312"/>
              </w:rPr>
              <w:t>① 付款条件说明： 合同签订后</w:t>
            </w:r>
            <w:r>
              <w:rPr>
                <w:rFonts w:ascii="仿宋_GB2312" w:hAnsi="仿宋_GB2312" w:cs="仿宋_GB2312" w:eastAsia="仿宋_GB2312"/>
              </w:rPr>
              <w:t>（</w:t>
            </w:r>
            <w:r>
              <w:rPr>
                <w:rFonts w:ascii="仿宋_GB2312" w:hAnsi="仿宋_GB2312" w:cs="仿宋_GB2312" w:eastAsia="仿宋_GB2312"/>
              </w:rPr>
              <w:t>实际资金支付按当地财政部门相关规定执行</w:t>
            </w:r>
            <w:r>
              <w:rPr>
                <w:rFonts w:ascii="仿宋_GB2312" w:hAnsi="仿宋_GB2312" w:cs="仿宋_GB2312" w:eastAsia="仿宋_GB2312"/>
              </w:rPr>
              <w:t>）</w:t>
            </w:r>
            <w:r>
              <w:rPr>
                <w:rFonts w:ascii="仿宋_GB2312" w:hAnsi="仿宋_GB2312" w:cs="仿宋_GB2312" w:eastAsia="仿宋_GB2312"/>
              </w:rPr>
              <w:t>，达到付款条件起</w:t>
            </w:r>
            <w:r>
              <w:rPr>
                <w:rFonts w:ascii="仿宋_GB2312" w:hAnsi="仿宋_GB2312" w:cs="仿宋_GB2312" w:eastAsia="仿宋_GB2312"/>
              </w:rPr>
              <w:t>10 日内，支付合同总金额的 30.00%。 ② 付款条件说明： 完成工程量</w:t>
            </w:r>
            <w:r>
              <w:rPr>
                <w:rFonts w:ascii="仿宋_GB2312" w:hAnsi="仿宋_GB2312" w:cs="仿宋_GB2312" w:eastAsia="仿宋_GB2312"/>
              </w:rPr>
              <w:t>50</w:t>
            </w:r>
            <w:r>
              <w:rPr>
                <w:rFonts w:ascii="仿宋_GB2312" w:hAnsi="仿宋_GB2312" w:cs="仿宋_GB2312" w:eastAsia="仿宋_GB2312"/>
              </w:rPr>
              <w:t>%</w:t>
            </w:r>
            <w:r>
              <w:rPr>
                <w:rFonts w:ascii="仿宋_GB2312" w:hAnsi="仿宋_GB2312" w:cs="仿宋_GB2312" w:eastAsia="仿宋_GB2312"/>
              </w:rPr>
              <w:t>且验收合格后</w:t>
            </w:r>
            <w:r>
              <w:rPr>
                <w:rFonts w:ascii="仿宋_GB2312" w:hAnsi="仿宋_GB2312" w:cs="仿宋_GB2312" w:eastAsia="仿宋_GB2312"/>
              </w:rPr>
              <w:t>（</w:t>
            </w:r>
            <w:r>
              <w:rPr>
                <w:rFonts w:ascii="仿宋_GB2312" w:hAnsi="仿宋_GB2312" w:cs="仿宋_GB2312" w:eastAsia="仿宋_GB2312"/>
              </w:rPr>
              <w:t>实际资金支付按当地财政部门相关规定执行</w:t>
            </w:r>
            <w:r>
              <w:rPr>
                <w:rFonts w:ascii="仿宋_GB2312" w:hAnsi="仿宋_GB2312" w:cs="仿宋_GB2312" w:eastAsia="仿宋_GB2312"/>
              </w:rPr>
              <w:t>）</w:t>
            </w:r>
            <w:r>
              <w:rPr>
                <w:rFonts w:ascii="仿宋_GB2312" w:hAnsi="仿宋_GB2312" w:cs="仿宋_GB2312" w:eastAsia="仿宋_GB2312"/>
              </w:rPr>
              <w:t>，达到付款条件起</w:t>
            </w:r>
            <w:r>
              <w:rPr>
                <w:rFonts w:ascii="仿宋_GB2312" w:hAnsi="仿宋_GB2312" w:cs="仿宋_GB2312" w:eastAsia="仿宋_GB2312"/>
              </w:rPr>
              <w:t xml:space="preserve">10日内，支付合同总金额的 </w:t>
            </w:r>
            <w:r>
              <w:rPr>
                <w:rFonts w:ascii="仿宋_GB2312" w:hAnsi="仿宋_GB2312" w:cs="仿宋_GB2312" w:eastAsia="仿宋_GB2312"/>
              </w:rPr>
              <w:t>30</w:t>
            </w:r>
            <w:r>
              <w:rPr>
                <w:rFonts w:ascii="仿宋_GB2312" w:hAnsi="仿宋_GB2312" w:cs="仿宋_GB2312" w:eastAsia="仿宋_GB2312"/>
              </w:rPr>
              <w:t xml:space="preserve">%。 ③ 付款条件说明： </w:t>
            </w:r>
            <w:r>
              <w:rPr>
                <w:rFonts w:ascii="仿宋_GB2312" w:hAnsi="仿宋_GB2312" w:cs="仿宋_GB2312" w:eastAsia="仿宋_GB2312"/>
              </w:rPr>
              <w:t>工程竣工验收合格并经审计后</w:t>
            </w:r>
            <w:r>
              <w:rPr>
                <w:rFonts w:ascii="仿宋_GB2312" w:hAnsi="仿宋_GB2312" w:cs="仿宋_GB2312" w:eastAsia="仿宋_GB2312"/>
              </w:rPr>
              <w:t>（</w:t>
            </w:r>
            <w:r>
              <w:rPr>
                <w:rFonts w:ascii="仿宋_GB2312" w:hAnsi="仿宋_GB2312" w:cs="仿宋_GB2312" w:eastAsia="仿宋_GB2312"/>
              </w:rPr>
              <w:t>实际资金支付按当地财政部门相关规定执行</w:t>
            </w:r>
            <w:r>
              <w:rPr>
                <w:rFonts w:ascii="仿宋_GB2312" w:hAnsi="仿宋_GB2312" w:cs="仿宋_GB2312" w:eastAsia="仿宋_GB2312"/>
              </w:rPr>
              <w:t>）</w:t>
            </w:r>
            <w:r>
              <w:rPr>
                <w:rFonts w:ascii="仿宋_GB2312" w:hAnsi="仿宋_GB2312" w:cs="仿宋_GB2312" w:eastAsia="仿宋_GB2312"/>
              </w:rPr>
              <w:t>，达到付款条件起</w:t>
            </w:r>
            <w:r>
              <w:rPr>
                <w:rFonts w:ascii="仿宋_GB2312" w:hAnsi="仿宋_GB2312" w:cs="仿宋_GB2312" w:eastAsia="仿宋_GB2312"/>
              </w:rPr>
              <w:t>30</w:t>
            </w:r>
            <w:r>
              <w:rPr>
                <w:rFonts w:ascii="仿宋_GB2312" w:hAnsi="仿宋_GB2312" w:cs="仿宋_GB2312" w:eastAsia="仿宋_GB2312"/>
              </w:rPr>
              <w:t xml:space="preserve"> </w:t>
            </w:r>
            <w:r>
              <w:rPr>
                <w:rFonts w:ascii="仿宋_GB2312" w:hAnsi="仿宋_GB2312" w:cs="仿宋_GB2312" w:eastAsia="仿宋_GB2312"/>
              </w:rPr>
              <w:t>日内，支付合同总金额的</w:t>
            </w:r>
            <w:r>
              <w:rPr>
                <w:rFonts w:ascii="仿宋_GB2312" w:hAnsi="仿宋_GB2312" w:cs="仿宋_GB2312" w:eastAsia="仿宋_GB2312"/>
              </w:rPr>
              <w:t>3</w:t>
            </w:r>
            <w:r>
              <w:rPr>
                <w:rFonts w:ascii="仿宋_GB2312" w:hAnsi="仿宋_GB2312" w:cs="仿宋_GB2312" w:eastAsia="仿宋_GB2312"/>
              </w:rPr>
              <w:t>7</w:t>
            </w:r>
            <w:r>
              <w:rPr>
                <w:rFonts w:ascii="仿宋_GB2312" w:hAnsi="仿宋_GB2312" w:cs="仿宋_GB2312" w:eastAsia="仿宋_GB2312"/>
              </w:rPr>
              <w:t>.00%。</w:t>
            </w:r>
            <w:r>
              <w:rPr>
                <w:rFonts w:ascii="仿宋_GB2312" w:hAnsi="仿宋_GB2312" w:cs="仿宋_GB2312" w:eastAsia="仿宋_GB2312"/>
              </w:rPr>
              <w:t>④</w:t>
            </w:r>
            <w:r>
              <w:rPr>
                <w:rFonts w:ascii="仿宋_GB2312" w:hAnsi="仿宋_GB2312" w:cs="仿宋_GB2312" w:eastAsia="仿宋_GB2312"/>
              </w:rPr>
              <w:t xml:space="preserve"> </w:t>
            </w:r>
            <w:r>
              <w:rPr>
                <w:rFonts w:ascii="仿宋_GB2312" w:hAnsi="仿宋_GB2312" w:cs="仿宋_GB2312" w:eastAsia="仿宋_GB2312"/>
              </w:rPr>
              <w:t>付款条件说明：</w:t>
            </w:r>
            <w:r>
              <w:rPr>
                <w:rFonts w:ascii="仿宋_GB2312" w:hAnsi="仿宋_GB2312" w:cs="仿宋_GB2312" w:eastAsia="仿宋_GB2312"/>
              </w:rPr>
              <w:t>按照国家相关标准及规范，质量保修范围和保修期满</w:t>
            </w:r>
            <w:r>
              <w:rPr>
                <w:rFonts w:ascii="仿宋_GB2312" w:hAnsi="仿宋_GB2312" w:cs="仿宋_GB2312" w:eastAsia="仿宋_GB2312"/>
              </w:rPr>
              <w:t>（</w:t>
            </w:r>
            <w:r>
              <w:rPr>
                <w:rFonts w:ascii="仿宋_GB2312" w:hAnsi="仿宋_GB2312" w:cs="仿宋_GB2312" w:eastAsia="仿宋_GB2312"/>
              </w:rPr>
              <w:t>实际资金支付按当地财政部门相关规定执行</w:t>
            </w:r>
            <w:r>
              <w:rPr>
                <w:rFonts w:ascii="仿宋_GB2312" w:hAnsi="仿宋_GB2312" w:cs="仿宋_GB2312" w:eastAsia="仿宋_GB2312"/>
              </w:rPr>
              <w:t>）</w:t>
            </w:r>
            <w:r>
              <w:rPr>
                <w:rFonts w:ascii="仿宋_GB2312" w:hAnsi="仿宋_GB2312" w:cs="仿宋_GB2312" w:eastAsia="仿宋_GB2312"/>
              </w:rPr>
              <w:t>，达到付款条件起</w:t>
            </w:r>
            <w:r>
              <w:rPr>
                <w:rFonts w:ascii="仿宋_GB2312" w:hAnsi="仿宋_GB2312" w:cs="仿宋_GB2312" w:eastAsia="仿宋_GB2312"/>
              </w:rPr>
              <w:t>30</w:t>
            </w:r>
            <w:r>
              <w:rPr>
                <w:rFonts w:ascii="仿宋_GB2312" w:hAnsi="仿宋_GB2312" w:cs="仿宋_GB2312" w:eastAsia="仿宋_GB2312"/>
              </w:rPr>
              <w:t xml:space="preserve"> </w:t>
            </w:r>
            <w:r>
              <w:rPr>
                <w:rFonts w:ascii="仿宋_GB2312" w:hAnsi="仿宋_GB2312" w:cs="仿宋_GB2312" w:eastAsia="仿宋_GB2312"/>
              </w:rPr>
              <w:t>日内，支付合同总金额的</w:t>
            </w:r>
            <w:r>
              <w:rPr>
                <w:rFonts w:ascii="仿宋_GB2312" w:hAnsi="仿宋_GB2312" w:cs="仿宋_GB2312" w:eastAsia="仿宋_GB2312"/>
              </w:rPr>
              <w:t>3.00%。</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售后服务：设立专门的售后服务热线，配备专业的售后维修人员，在接到维修通知后</w:t>
            </w:r>
            <w:r>
              <w:rPr>
                <w:rFonts w:ascii="仿宋_GB2312" w:hAnsi="仿宋_GB2312" w:cs="仿宋_GB2312" w:eastAsia="仿宋_GB2312"/>
                <w:sz w:val="21"/>
              </w:rPr>
              <w:t>2小时内响应，一般维修问题在24小时内到达现场进行处理，紧急维修情况(如严重影响师生正常生活学习的宿舍漏水、操场积水无法使用等)应在 12 小时内到达现场采取应急措施并尽快修复。定期对改造项目进行回访检查，每季度不少于一次，向学校提交回访报告，及时发现并解决潜在问题，同时为学校提供相关设施的使用维护培训与技术指导，确保学校工作人员能够正确进行日常维护保养工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施工要求</w:t>
            </w:r>
          </w:p>
          <w:p>
            <w:pPr>
              <w:pStyle w:val="null3"/>
            </w:pPr>
            <w:r>
              <w:rPr>
                <w:rFonts w:ascii="仿宋_GB2312" w:hAnsi="仿宋_GB2312" w:cs="仿宋_GB2312" w:eastAsia="仿宋_GB2312"/>
                <w:sz w:val="21"/>
              </w:rPr>
              <w:t>一、</w:t>
            </w:r>
            <w:r>
              <w:rPr>
                <w:rFonts w:ascii="仿宋_GB2312" w:hAnsi="仿宋_GB2312" w:cs="仿宋_GB2312" w:eastAsia="仿宋_GB2312"/>
                <w:sz w:val="21"/>
              </w:rPr>
              <w:t>质量标准明确</w:t>
            </w:r>
          </w:p>
          <w:p>
            <w:pPr>
              <w:pStyle w:val="null3"/>
            </w:pPr>
            <w:r>
              <w:rPr>
                <w:rFonts w:ascii="仿宋_GB2312" w:hAnsi="仿宋_GB2312" w:cs="仿宋_GB2312" w:eastAsia="仿宋_GB2312"/>
                <w:sz w:val="21"/>
              </w:rPr>
              <w:t>在项目实施过程中，必须明确并遵循相关的质量标准，包括但不限于国家或地方的建设标准、行业规范以及设计要求。项目团队应确保所有工作都围绕这些标准展开，保证工程质量的稳定性和持久性。在施工过程中，如果国家或有关部门颁布了新的技术</w:t>
            </w:r>
            <w:r>
              <w:rPr>
                <w:rFonts w:ascii="仿宋_GB2312" w:hAnsi="仿宋_GB2312" w:cs="仿宋_GB2312" w:eastAsia="仿宋_GB2312"/>
                <w:sz w:val="21"/>
              </w:rPr>
              <w:t>标</w:t>
            </w:r>
            <w:r>
              <w:rPr>
                <w:rFonts w:ascii="仿宋_GB2312" w:hAnsi="仿宋_GB2312" w:cs="仿宋_GB2312" w:eastAsia="仿宋_GB2312"/>
                <w:sz w:val="21"/>
              </w:rPr>
              <w:t>准或规范，则应采用新的标准或规范进行施工。</w:t>
            </w:r>
          </w:p>
          <w:p>
            <w:pPr>
              <w:pStyle w:val="null3"/>
            </w:pPr>
            <w:r>
              <w:rPr>
                <w:rFonts w:ascii="仿宋_GB2312" w:hAnsi="仿宋_GB2312" w:cs="仿宋_GB2312" w:eastAsia="仿宋_GB2312"/>
                <w:sz w:val="21"/>
              </w:rPr>
              <w:t>二、材料检验合格</w:t>
            </w:r>
          </w:p>
          <w:p>
            <w:pPr>
              <w:pStyle w:val="null3"/>
            </w:pPr>
            <w:r>
              <w:rPr>
                <w:rFonts w:ascii="仿宋_GB2312" w:hAnsi="仿宋_GB2312" w:cs="仿宋_GB2312" w:eastAsia="仿宋_GB2312"/>
                <w:sz w:val="21"/>
              </w:rPr>
              <w:t>所有用于项目的材料，无论大小，都应经过严格的检验程序，确保其质量符合标准要求。材料的采购、运输、存储和使用都应遵循相应的管理规定，并对不合格材料实行零容忍制度。</w:t>
            </w:r>
          </w:p>
          <w:p>
            <w:pPr>
              <w:pStyle w:val="null3"/>
            </w:pPr>
            <w:r>
              <w:rPr>
                <w:rFonts w:ascii="仿宋_GB2312" w:hAnsi="仿宋_GB2312" w:cs="仿宋_GB2312" w:eastAsia="仿宋_GB2312"/>
                <w:sz w:val="21"/>
              </w:rPr>
              <w:t>三、施工过程监控</w:t>
            </w:r>
          </w:p>
          <w:p>
            <w:pPr>
              <w:pStyle w:val="null3"/>
            </w:pPr>
            <w:r>
              <w:rPr>
                <w:rFonts w:ascii="仿宋_GB2312" w:hAnsi="仿宋_GB2312" w:cs="仿宋_GB2312" w:eastAsia="仿宋_GB2312"/>
                <w:sz w:val="21"/>
              </w:rPr>
              <w:t>在施工过程中，应实施有效的监控机制，确保所有施工活动都按照设计、规范和质量标准进行。此外，应定期对施工现场进行检查，及时发现并纠正施工中的问题，防止质量问题的发生。</w:t>
            </w:r>
          </w:p>
          <w:p>
            <w:pPr>
              <w:pStyle w:val="null3"/>
            </w:pPr>
            <w:r>
              <w:rPr>
                <w:rFonts w:ascii="仿宋_GB2312" w:hAnsi="仿宋_GB2312" w:cs="仿宋_GB2312" w:eastAsia="仿宋_GB2312"/>
                <w:sz w:val="21"/>
              </w:rPr>
              <w:t>四、质量验收规范</w:t>
            </w:r>
          </w:p>
          <w:p>
            <w:pPr>
              <w:pStyle w:val="null3"/>
            </w:pPr>
            <w:r>
              <w:rPr>
                <w:rFonts w:ascii="仿宋_GB2312" w:hAnsi="仿宋_GB2312" w:cs="仿宋_GB2312" w:eastAsia="仿宋_GB2312"/>
                <w:sz w:val="21"/>
              </w:rPr>
              <w:t>项目完成后，应按照既定的质量验收规范进行全面的检查和评估。验收过程应严格、公正，确保项目的每一项工作都达到预定的质量标准。对于不符合要求的部分，应及时进行整改。</w:t>
            </w:r>
          </w:p>
          <w:p>
            <w:pPr>
              <w:pStyle w:val="null3"/>
            </w:pPr>
            <w:r>
              <w:rPr>
                <w:rFonts w:ascii="仿宋_GB2312" w:hAnsi="仿宋_GB2312" w:cs="仿宋_GB2312" w:eastAsia="仿宋_GB2312"/>
                <w:sz w:val="21"/>
              </w:rPr>
              <w:t>五、安全制度健全</w:t>
            </w:r>
          </w:p>
          <w:p>
            <w:pPr>
              <w:pStyle w:val="null3"/>
            </w:pPr>
            <w:r>
              <w:rPr>
                <w:rFonts w:ascii="仿宋_GB2312" w:hAnsi="仿宋_GB2312" w:cs="仿宋_GB2312" w:eastAsia="仿宋_GB2312"/>
                <w:sz w:val="21"/>
              </w:rPr>
              <w:t>项目实施应建立完善的安全管理制度，包括但不限于安全操作规程、事故应急处理流程等。所有参与项目的人员都应严格遵守这些制度，确保自身和他人的人身安全。</w:t>
            </w:r>
          </w:p>
          <w:p>
            <w:pPr>
              <w:pStyle w:val="null3"/>
            </w:pPr>
            <w:r>
              <w:rPr>
                <w:rFonts w:ascii="仿宋_GB2312" w:hAnsi="仿宋_GB2312" w:cs="仿宋_GB2312" w:eastAsia="仿宋_GB2312"/>
                <w:sz w:val="21"/>
              </w:rPr>
              <w:t>六、安全培训到位</w:t>
            </w:r>
          </w:p>
          <w:p>
            <w:pPr>
              <w:pStyle w:val="null3"/>
            </w:pPr>
            <w:r>
              <w:rPr>
                <w:rFonts w:ascii="仿宋_GB2312" w:hAnsi="仿宋_GB2312" w:cs="仿宋_GB2312" w:eastAsia="仿宋_GB2312"/>
                <w:sz w:val="21"/>
              </w:rPr>
              <w:t>为了提高人员的安全意识和操作技能，应定期开展安全培训活动。培训内容包括但不限于安全操作规程、个人防护、急救知识等。所有参与项目的人员都应接受培训并通过相应的考核。</w:t>
            </w:r>
          </w:p>
          <w:p>
            <w:pPr>
              <w:pStyle w:val="null3"/>
            </w:pPr>
            <w:r>
              <w:rPr>
                <w:rFonts w:ascii="仿宋_GB2312" w:hAnsi="仿宋_GB2312" w:cs="仿宋_GB2312" w:eastAsia="仿宋_GB2312"/>
                <w:sz w:val="21"/>
              </w:rPr>
              <w:t>七、安全设施完善</w:t>
            </w:r>
          </w:p>
          <w:p>
            <w:pPr>
              <w:pStyle w:val="null3"/>
            </w:pPr>
            <w:r>
              <w:rPr>
                <w:rFonts w:ascii="仿宋_GB2312" w:hAnsi="仿宋_GB2312" w:cs="仿宋_GB2312" w:eastAsia="仿宋_GB2312"/>
                <w:sz w:val="21"/>
              </w:rPr>
              <w:t>施工现场应配备完善的安全设施，如防护网、警示标志、消防器材等。这些设施应定期检查和维护，确保其处于良好的工作状态。</w:t>
            </w:r>
          </w:p>
          <w:p>
            <w:pPr>
              <w:pStyle w:val="null3"/>
            </w:pPr>
            <w:r>
              <w:rPr>
                <w:rFonts w:ascii="仿宋_GB2312" w:hAnsi="仿宋_GB2312" w:cs="仿宋_GB2312" w:eastAsia="仿宋_GB2312"/>
                <w:sz w:val="21"/>
              </w:rPr>
              <w:t>八、文明施工规范</w:t>
            </w:r>
          </w:p>
          <w:p>
            <w:pPr>
              <w:pStyle w:val="null3"/>
              <w:jc w:val="both"/>
            </w:pPr>
            <w:r>
              <w:rPr>
                <w:rFonts w:ascii="仿宋_GB2312" w:hAnsi="仿宋_GB2312" w:cs="仿宋_GB2312" w:eastAsia="仿宋_GB2312"/>
                <w:sz w:val="21"/>
              </w:rPr>
              <w:t>在项目实施过程中，应严格遵守文明施工规范，保持良好的施工秩序和环境卫生。所有参与项目的人员都应自觉遵守这些规范，树立文明施工的良好形象。同时，应鼓励采用环保、节能的施工技术和材料，减少施工对环境的影响。</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建筑工程:符合《建筑工程施工质量验收统一标准》(GB50300-2013)；塑胶跑道:满足《体育用人造草》(GB/T20398-2017)及环保要求；其他设施:按国家现行规范及合同约定执行。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符合国家、省、市等相关标准及采购人和设计要求。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提供经审计的2024年度财务报告或磋商前六个月内其本公司银行账户出具的资信证明或政府采购专业担保机构出具的磋商担保函（事业单位可不提供）（加盖公章）；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供应商应具有建设行政主管部门核发的建筑工程施工总承包三级及以上（含三级）资质。</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供应商应具有建设行政主管部门颁发的安全生产许可证。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供应商拟派项目负责人需具备建筑工程专业二级及以上建造师证书和安全生产考核合格证，并提供无在建工程承诺。</w:t>
            </w:r>
          </w:p>
        </w:tc>
        <w:tc>
          <w:tcPr>
            <w:tcW w:type="dxa" w:w="1661"/>
          </w:tcPr>
          <w:p>
            <w:pPr>
              <w:pStyle w:val="null3"/>
            </w:pPr>
            <w:r>
              <w:rPr>
                <w:rFonts w:ascii="仿宋_GB2312" w:hAnsi="仿宋_GB2312" w:cs="仿宋_GB2312" w:eastAsia="仿宋_GB2312"/>
              </w:rPr>
              <w:t>特殊资格要求.docx 项目管理机构组成表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已标价工程量清单 磋商响应方案.docx 中小企业声明函 一般资格要求.docx 技术、服务、商务标准和要求响应偏离表.docx 强制优先采购产品承诺函 响应文件封面 特殊资格要求.docx 项目管理机构组成表 供应商认为有必要补充说明的事项.docx 残疾人福利性单位声明函 报价函 业绩证明材料.docx 标的清单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同时满足以下条款：（1）磋商报价符合唯一性要求；（2）报价未超出采购预算或最高限价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磋商文件技术、服务、商务标准和要求</w:t>
            </w:r>
          </w:p>
        </w:tc>
        <w:tc>
          <w:tcPr>
            <w:tcW w:type="dxa" w:w="3322"/>
          </w:tcPr>
          <w:p>
            <w:pPr>
              <w:pStyle w:val="null3"/>
            </w:pPr>
            <w:r>
              <w:rPr>
                <w:rFonts w:ascii="仿宋_GB2312" w:hAnsi="仿宋_GB2312" w:cs="仿宋_GB2312" w:eastAsia="仿宋_GB2312"/>
              </w:rPr>
              <w:t>满足磋商文件技术、服务、商务标准和要求</w:t>
            </w:r>
          </w:p>
        </w:tc>
        <w:tc>
          <w:tcPr>
            <w:tcW w:type="dxa" w:w="1661"/>
          </w:tcPr>
          <w:p>
            <w:pPr>
              <w:pStyle w:val="null3"/>
            </w:pPr>
            <w:r>
              <w:rPr>
                <w:rFonts w:ascii="仿宋_GB2312" w:hAnsi="仿宋_GB2312" w:cs="仿宋_GB2312" w:eastAsia="仿宋_GB2312"/>
              </w:rPr>
              <w:t>技术、服务、商务标准和要求响应偏离表.docx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已标价工程量清单 磋商响应方案.docx 中小企业声明函 一般资格要求.docx 技术、服务、商务标准和要求响应偏离表.docx 强制优先采购产品承诺函 响应文件封面 特殊资格要求.docx 项目管理机构组成表 供应商认为有必要补充说明的事项.docx 残疾人福利性单位声明函 报价函 业绩证明材料.docx 标的清单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已标价工程量清单 磋商响应方案.docx 中小企业声明函 一般资格要求.docx 技术、服务、商务标准和要求响应偏离表.docx 强制优先采购产品承诺函 响应文件封面 特殊资格要求.docx 项目管理机构组成表 供应商认为有必要补充说明的事项.docx 残疾人福利性单位声明函 报价函 业绩证明材料.docx 标的清单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施工组织方案设计</w:t>
            </w:r>
          </w:p>
        </w:tc>
        <w:tc>
          <w:tcPr>
            <w:tcW w:type="dxa" w:w="2492"/>
          </w:tcPr>
          <w:p>
            <w:pPr>
              <w:pStyle w:val="null3"/>
            </w:pPr>
            <w:r>
              <w:rPr>
                <w:rFonts w:ascii="仿宋_GB2312" w:hAnsi="仿宋_GB2312" w:cs="仿宋_GB2312" w:eastAsia="仿宋_GB2312"/>
              </w:rPr>
              <w:t>根据供应商提供的施工组织设计方案进行综合评审，包含①施工方案及施工工艺②确保工期的技术组织措施、③确保工程质量保证措施（应包含质保期、建材质量等）、④施工进度表或施工网络图、⑤确保安全生产技术组织措施、⑥应急预案、⑦施工机械配备和材料投入计划、⑧确保文明施工措施、⑨项目经理部组成（提供相应岗位人员的证书）、⑩新技术新产品新工艺新材料应用。 以上方案各项内容全面详细、阐述条理清晰详尽、符合本项目采购需求，能有效保障本项目实施的得50分，各项方案每有一个缺项扣5分，每一项方案内容存在缺陷按以下说明扣分。 说明：缺陷是指①内容不合理、虽有内容但内容稀疏、不完善、且内容表述前后不一致，扣2.5分；②套用其他项目方案或与项目需求不匹配及其他不利于项目实施的等任意一种情形，扣2.5分。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保修承诺书</w:t>
            </w:r>
          </w:p>
        </w:tc>
        <w:tc>
          <w:tcPr>
            <w:tcW w:type="dxa" w:w="2492"/>
          </w:tcPr>
          <w:p>
            <w:pPr>
              <w:pStyle w:val="null3"/>
            </w:pPr>
            <w:r>
              <w:rPr>
                <w:rFonts w:ascii="仿宋_GB2312" w:hAnsi="仿宋_GB2312" w:cs="仿宋_GB2312" w:eastAsia="仿宋_GB2312"/>
              </w:rPr>
              <w:t>供应商针对本项目施工要求提供全面、具体的施工保修承诺书，包括①具体的保修内容、②维修响应方式及时间、③问题管理、返修管理、④定期回访、⑤质保期外维修服务。 以上方案各项内容全面详细、阐述条理清晰详尽、符合本项目采购需求，能有效保障本项目实施的得10分，各项方案每有一个缺项扣2分，每一项方案内容存在缺陷按以下说明扣分。 说明：缺陷是指①内容不合理、虽有内容但内容稀疏、不完善、且内容表述前后不一致，扣1分；②套用其他项目方案或与项目需求不匹配及其他不利于项目实施的等任意一种情形，扣1分。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提供供应商2022年1月1日至今已完成的类似建筑施工项目的合同及竣工验收报告，每提供1份完整的业绩证明材料得2分，最高得10分。（以合同签订日期为准）。 备注：响应文件中提供合同及竣工验收报告复印件加盖公章。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详见附件：技术、服务、商务标准和要求响应偏离表.docx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