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CC329">
      <w:pPr>
        <w:spacing w:line="600" w:lineRule="auto"/>
        <w:jc w:val="center"/>
        <w:rPr>
          <w:rFonts w:hint="eastAsia" w:ascii="仿宋" w:hAnsi="仿宋" w:eastAsia="仿宋" w:cs="仿宋"/>
          <w:b/>
          <w:kern w:val="0"/>
          <w:sz w:val="32"/>
          <w:szCs w:val="32"/>
          <w:highlight w:val="none"/>
        </w:rPr>
      </w:pPr>
      <w:r>
        <w:rPr>
          <w:rFonts w:hint="eastAsia" w:ascii="仿宋" w:hAnsi="仿宋" w:eastAsia="仿宋" w:cs="仿宋"/>
          <w:b/>
          <w:kern w:val="0"/>
          <w:sz w:val="48"/>
          <w:szCs w:val="48"/>
          <w:highlight w:val="none"/>
        </w:rPr>
        <w:t>合 同 书</w:t>
      </w:r>
    </w:p>
    <w:p w14:paraId="794F2FA4">
      <w:pPr>
        <w:pStyle w:val="2"/>
        <w:jc w:val="center"/>
        <w:rPr>
          <w:rFonts w:hint="eastAsia" w:ascii="仿宋" w:hAnsi="仿宋" w:eastAsia="仿宋" w:cs="仿宋"/>
          <w:sz w:val="22"/>
          <w:szCs w:val="20"/>
          <w:highlight w:val="none"/>
          <w:lang w:eastAsia="zh-CN"/>
        </w:rPr>
      </w:pPr>
      <w:r>
        <w:rPr>
          <w:rFonts w:hint="eastAsia" w:ascii="仿宋" w:hAnsi="仿宋" w:eastAsia="仿宋" w:cs="仿宋"/>
          <w:sz w:val="24"/>
          <w:szCs w:val="21"/>
          <w:highlight w:val="none"/>
          <w:lang w:eastAsia="zh-CN"/>
        </w:rPr>
        <w:t>（</w:t>
      </w:r>
      <w:r>
        <w:rPr>
          <w:rFonts w:hint="eastAsia" w:ascii="仿宋" w:hAnsi="仿宋" w:eastAsia="仿宋" w:cs="仿宋"/>
          <w:sz w:val="24"/>
          <w:szCs w:val="21"/>
          <w:highlight w:val="none"/>
          <w:lang w:val="en-US" w:eastAsia="zh-CN"/>
        </w:rPr>
        <w:t>本格式条款为合同基础条款，甲乙双方可根据项目实际情况增加条款和内容</w:t>
      </w:r>
      <w:r>
        <w:rPr>
          <w:rFonts w:hint="eastAsia" w:ascii="仿宋" w:hAnsi="仿宋" w:eastAsia="仿宋" w:cs="仿宋"/>
          <w:sz w:val="24"/>
          <w:szCs w:val="21"/>
          <w:highlight w:val="none"/>
          <w:lang w:eastAsia="zh-CN"/>
        </w:rPr>
        <w:t>）</w:t>
      </w:r>
    </w:p>
    <w:p w14:paraId="61649155">
      <w:pPr>
        <w:pStyle w:val="10"/>
        <w:rPr>
          <w:rFonts w:hint="eastAsia" w:ascii="仿宋" w:hAnsi="仿宋" w:eastAsia="仿宋" w:cs="仿宋"/>
          <w:sz w:val="24"/>
          <w:szCs w:val="21"/>
        </w:rPr>
      </w:pPr>
    </w:p>
    <w:p w14:paraId="16F1C5E7">
      <w:pPr>
        <w:rPr>
          <w:rFonts w:hint="eastAsia" w:ascii="仿宋" w:hAnsi="仿宋" w:eastAsia="仿宋" w:cs="仿宋"/>
          <w:sz w:val="20"/>
          <w:szCs w:val="21"/>
        </w:rPr>
      </w:pPr>
    </w:p>
    <w:p w14:paraId="592F2CE9">
      <w:pPr>
        <w:rPr>
          <w:rFonts w:hint="eastAsia" w:ascii="仿宋" w:hAnsi="仿宋" w:eastAsia="仿宋" w:cs="仿宋"/>
          <w:sz w:val="20"/>
          <w:szCs w:val="21"/>
        </w:rPr>
      </w:pPr>
    </w:p>
    <w:p w14:paraId="2ED30698">
      <w:pPr>
        <w:spacing w:line="560" w:lineRule="exact"/>
        <w:jc w:val="center"/>
        <w:rPr>
          <w:rFonts w:hint="eastAsia" w:ascii="仿宋" w:hAnsi="仿宋" w:eastAsia="仿宋" w:cs="仿宋"/>
          <w:b/>
          <w:kern w:val="0"/>
          <w:sz w:val="32"/>
          <w:szCs w:val="32"/>
          <w:highlight w:val="none"/>
        </w:rPr>
      </w:pPr>
      <w:r>
        <w:rPr>
          <w:rFonts w:hint="eastAsia" w:ascii="仿宋" w:hAnsi="仿宋" w:eastAsia="仿宋" w:cs="仿宋"/>
          <w:b/>
          <w:kern w:val="0"/>
          <w:sz w:val="32"/>
          <w:szCs w:val="32"/>
          <w:highlight w:val="none"/>
        </w:rPr>
        <w:t>合同编号：XXXX</w:t>
      </w:r>
    </w:p>
    <w:p w14:paraId="1BDC4FB9">
      <w:pPr>
        <w:spacing w:line="560" w:lineRule="exact"/>
        <w:rPr>
          <w:rFonts w:hint="eastAsia" w:ascii="仿宋" w:hAnsi="仿宋" w:eastAsia="仿宋" w:cs="仿宋"/>
          <w:b/>
          <w:sz w:val="20"/>
          <w:szCs w:val="21"/>
          <w:highlight w:val="none"/>
        </w:rPr>
      </w:pPr>
    </w:p>
    <w:p w14:paraId="0CCAA882">
      <w:pPr>
        <w:rPr>
          <w:rFonts w:hint="eastAsia" w:ascii="仿宋" w:hAnsi="仿宋" w:eastAsia="仿宋" w:cs="仿宋"/>
          <w:sz w:val="20"/>
          <w:szCs w:val="21"/>
          <w:highlight w:val="none"/>
        </w:rPr>
      </w:pPr>
    </w:p>
    <w:p w14:paraId="10881DA6">
      <w:pPr>
        <w:pStyle w:val="7"/>
        <w:ind w:left="0" w:leftChars="0" w:right="1470" w:firstLine="0" w:firstLineChars="0"/>
        <w:rPr>
          <w:rFonts w:hint="eastAsia" w:ascii="仿宋" w:hAnsi="仿宋" w:eastAsia="仿宋" w:cs="仿宋"/>
          <w:sz w:val="20"/>
          <w:szCs w:val="18"/>
          <w:highlight w:val="none"/>
        </w:rPr>
      </w:pPr>
    </w:p>
    <w:p w14:paraId="6D22FDB3">
      <w:pPr>
        <w:pStyle w:val="7"/>
        <w:ind w:left="0" w:leftChars="0" w:right="1470" w:firstLine="0" w:firstLineChars="0"/>
        <w:rPr>
          <w:rFonts w:hint="eastAsia" w:ascii="仿宋" w:hAnsi="仿宋" w:eastAsia="仿宋" w:cs="仿宋"/>
          <w:sz w:val="20"/>
          <w:szCs w:val="18"/>
          <w:highlight w:val="none"/>
        </w:rPr>
      </w:pPr>
    </w:p>
    <w:p w14:paraId="4185F5B0">
      <w:pPr>
        <w:pStyle w:val="7"/>
        <w:ind w:left="1470" w:right="1470"/>
        <w:rPr>
          <w:rFonts w:hint="eastAsia" w:ascii="仿宋" w:hAnsi="仿宋" w:eastAsia="仿宋" w:cs="仿宋"/>
          <w:sz w:val="20"/>
          <w:szCs w:val="18"/>
          <w:highlight w:val="none"/>
        </w:rPr>
      </w:pPr>
    </w:p>
    <w:p w14:paraId="4D084167">
      <w:pPr>
        <w:pStyle w:val="7"/>
        <w:ind w:left="1470" w:right="1470"/>
        <w:rPr>
          <w:rFonts w:hint="eastAsia" w:ascii="仿宋" w:hAnsi="仿宋" w:eastAsia="仿宋" w:cs="仿宋"/>
          <w:sz w:val="20"/>
          <w:szCs w:val="18"/>
          <w:highlight w:val="none"/>
        </w:rPr>
      </w:pPr>
    </w:p>
    <w:p w14:paraId="1BC648B9">
      <w:pPr>
        <w:pStyle w:val="7"/>
        <w:ind w:left="1470" w:right="1470"/>
        <w:rPr>
          <w:rFonts w:hint="eastAsia" w:ascii="仿宋" w:hAnsi="仿宋" w:eastAsia="仿宋" w:cs="仿宋"/>
          <w:sz w:val="20"/>
          <w:szCs w:val="18"/>
          <w:highlight w:val="none"/>
        </w:rPr>
      </w:pPr>
    </w:p>
    <w:p w14:paraId="45A08239">
      <w:pPr>
        <w:pStyle w:val="7"/>
        <w:ind w:left="1470" w:right="1470"/>
        <w:rPr>
          <w:rFonts w:hint="eastAsia" w:ascii="仿宋" w:hAnsi="仿宋" w:eastAsia="仿宋" w:cs="仿宋"/>
          <w:sz w:val="20"/>
          <w:szCs w:val="18"/>
          <w:highlight w:val="none"/>
        </w:rPr>
      </w:pPr>
    </w:p>
    <w:p w14:paraId="36B7FE85">
      <w:pPr>
        <w:rPr>
          <w:rFonts w:hint="eastAsia" w:ascii="仿宋" w:hAnsi="仿宋" w:eastAsia="仿宋" w:cs="仿宋"/>
          <w:sz w:val="20"/>
          <w:szCs w:val="21"/>
          <w:highlight w:val="none"/>
        </w:rPr>
      </w:pPr>
    </w:p>
    <w:p w14:paraId="2C2EE78A">
      <w:pPr>
        <w:spacing w:line="560" w:lineRule="exact"/>
        <w:ind w:left="1469" w:hanging="1308" w:hangingChars="400"/>
        <w:rPr>
          <w:rFonts w:hint="eastAsia" w:ascii="仿宋" w:hAnsi="仿宋" w:eastAsia="仿宋" w:cs="仿宋"/>
          <w:b/>
          <w:spacing w:val="23"/>
          <w:sz w:val="28"/>
          <w:szCs w:val="28"/>
          <w:highlight w:val="none"/>
          <w:lang w:bidi="ar"/>
        </w:rPr>
      </w:pPr>
      <w:r>
        <w:rPr>
          <w:rFonts w:hint="eastAsia" w:ascii="仿宋" w:hAnsi="仿宋" w:eastAsia="仿宋" w:cs="仿宋"/>
          <w:b/>
          <w:spacing w:val="23"/>
          <w:sz w:val="28"/>
          <w:szCs w:val="28"/>
          <w:highlight w:val="none"/>
          <w:lang w:bidi="ar"/>
        </w:rPr>
        <w:t xml:space="preserve">          </w:t>
      </w:r>
    </w:p>
    <w:p w14:paraId="36CBC12F">
      <w:pPr>
        <w:spacing w:line="560" w:lineRule="exact"/>
        <w:ind w:left="1469" w:hanging="1308" w:hangingChars="400"/>
        <w:rPr>
          <w:rFonts w:hint="eastAsia" w:ascii="仿宋" w:hAnsi="仿宋" w:eastAsia="仿宋" w:cs="仿宋"/>
          <w:b/>
          <w:spacing w:val="23"/>
          <w:sz w:val="28"/>
          <w:szCs w:val="28"/>
          <w:highlight w:val="none"/>
          <w:lang w:bidi="ar"/>
        </w:rPr>
      </w:pPr>
    </w:p>
    <w:p w14:paraId="04AE54F6">
      <w:pPr>
        <w:spacing w:line="560" w:lineRule="exact"/>
        <w:ind w:left="1469" w:hanging="1308" w:hangingChars="400"/>
        <w:rPr>
          <w:rFonts w:hint="eastAsia" w:ascii="仿宋" w:hAnsi="仿宋" w:eastAsia="仿宋" w:cs="仿宋"/>
          <w:b/>
          <w:spacing w:val="23"/>
          <w:sz w:val="28"/>
          <w:szCs w:val="28"/>
          <w:highlight w:val="none"/>
          <w:lang w:bidi="ar"/>
        </w:rPr>
      </w:pPr>
    </w:p>
    <w:p w14:paraId="0AB79162">
      <w:pPr>
        <w:spacing w:line="560" w:lineRule="exact"/>
        <w:ind w:left="1469" w:hanging="1308" w:hangingChars="400"/>
        <w:rPr>
          <w:rFonts w:hint="eastAsia" w:ascii="仿宋" w:hAnsi="仿宋" w:eastAsia="仿宋" w:cs="仿宋"/>
          <w:b/>
          <w:spacing w:val="23"/>
          <w:sz w:val="28"/>
          <w:szCs w:val="28"/>
          <w:highlight w:val="none"/>
        </w:rPr>
      </w:pPr>
      <w:r>
        <w:rPr>
          <w:rFonts w:hint="eastAsia" w:ascii="仿宋" w:hAnsi="仿宋" w:eastAsia="仿宋" w:cs="仿宋"/>
          <w:b/>
          <w:spacing w:val="23"/>
          <w:sz w:val="28"/>
          <w:szCs w:val="28"/>
          <w:highlight w:val="none"/>
          <w:lang w:bidi="ar"/>
        </w:rPr>
        <w:t>甲方</w:t>
      </w:r>
      <w:r>
        <w:rPr>
          <w:rFonts w:hint="eastAsia" w:ascii="仿宋" w:hAnsi="仿宋" w:eastAsia="仿宋" w:cs="仿宋"/>
          <w:b/>
          <w:spacing w:val="23"/>
          <w:sz w:val="28"/>
          <w:szCs w:val="28"/>
          <w:highlight w:val="none"/>
          <w:lang w:eastAsia="zh-CN" w:bidi="ar"/>
        </w:rPr>
        <w:t>（</w:t>
      </w:r>
      <w:r>
        <w:rPr>
          <w:rFonts w:hint="eastAsia" w:ascii="仿宋" w:hAnsi="仿宋" w:eastAsia="仿宋" w:cs="仿宋"/>
          <w:sz w:val="20"/>
          <w:szCs w:val="21"/>
          <w:highlight w:val="none"/>
        </w:rPr>
        <w:fldChar w:fldCharType="begin"/>
      </w:r>
      <w:r>
        <w:rPr>
          <w:rFonts w:hint="eastAsia" w:ascii="仿宋" w:hAnsi="仿宋" w:eastAsia="仿宋" w:cs="仿宋"/>
          <w:sz w:val="20"/>
          <w:szCs w:val="21"/>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sz w:val="20"/>
          <w:szCs w:val="21"/>
          <w:highlight w:val="none"/>
        </w:rPr>
        <w:fldChar w:fldCharType="separate"/>
      </w:r>
      <w:r>
        <w:rPr>
          <w:rStyle w:val="15"/>
          <w:rFonts w:hint="eastAsia" w:ascii="仿宋" w:hAnsi="仿宋" w:eastAsia="仿宋" w:cs="仿宋"/>
          <w:b/>
          <w:color w:val="auto"/>
          <w:spacing w:val="23"/>
          <w:sz w:val="28"/>
          <w:szCs w:val="28"/>
          <w:highlight w:val="none"/>
        </w:rPr>
        <w:t>采购人</w:t>
      </w:r>
      <w:r>
        <w:rPr>
          <w:rStyle w:val="15"/>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58B07439">
      <w:pPr>
        <w:spacing w:line="560" w:lineRule="exact"/>
        <w:ind w:left="1469" w:hanging="800" w:hangingChars="400"/>
        <w:rPr>
          <w:rFonts w:hint="eastAsia" w:ascii="仿宋" w:hAnsi="仿宋" w:eastAsia="仿宋" w:cs="仿宋"/>
          <w:b/>
          <w:spacing w:val="23"/>
          <w:sz w:val="28"/>
          <w:szCs w:val="28"/>
          <w:highlight w:val="none"/>
        </w:rPr>
      </w:pPr>
      <w:r>
        <w:rPr>
          <w:rFonts w:hint="eastAsia" w:ascii="仿宋" w:hAnsi="仿宋" w:eastAsia="仿宋" w:cs="仿宋"/>
          <w:sz w:val="20"/>
          <w:szCs w:val="21"/>
          <w:highlight w:val="none"/>
        </w:rPr>
        <w:fldChar w:fldCharType="begin"/>
      </w:r>
      <w:r>
        <w:rPr>
          <w:rFonts w:hint="eastAsia" w:ascii="仿宋" w:hAnsi="仿宋" w:eastAsia="仿宋" w:cs="仿宋"/>
          <w:sz w:val="20"/>
          <w:szCs w:val="21"/>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sz w:val="20"/>
          <w:szCs w:val="21"/>
          <w:highlight w:val="none"/>
        </w:rPr>
        <w:fldChar w:fldCharType="separate"/>
      </w:r>
      <w:r>
        <w:rPr>
          <w:rStyle w:val="15"/>
          <w:rFonts w:hint="eastAsia" w:ascii="仿宋" w:hAnsi="仿宋" w:eastAsia="仿宋" w:cs="仿宋"/>
          <w:b/>
          <w:color w:val="auto"/>
          <w:spacing w:val="23"/>
          <w:sz w:val="28"/>
          <w:szCs w:val="28"/>
          <w:highlight w:val="none"/>
        </w:rPr>
        <w:t>乙方</w:t>
      </w:r>
      <w:r>
        <w:rPr>
          <w:rStyle w:val="15"/>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2F6C2DDB">
      <w:pPr>
        <w:pStyle w:val="11"/>
        <w:widowControl/>
        <w:adjustRightInd w:val="0"/>
        <w:spacing w:line="560" w:lineRule="exact"/>
        <w:rPr>
          <w:rFonts w:hint="eastAsia" w:ascii="仿宋" w:hAnsi="仿宋" w:eastAsia="仿宋" w:cs="仿宋"/>
          <w:b/>
          <w:spacing w:val="23"/>
          <w:kern w:val="0"/>
          <w:sz w:val="28"/>
          <w:szCs w:val="28"/>
          <w:highlight w:val="none"/>
          <w:lang w:bidi="ar"/>
        </w:rPr>
      </w:pPr>
      <w:r>
        <w:rPr>
          <w:rFonts w:hint="eastAsia" w:ascii="仿宋" w:hAnsi="仿宋" w:eastAsia="仿宋" w:cs="仿宋"/>
          <w:b/>
          <w:spacing w:val="23"/>
          <w:kern w:val="0"/>
          <w:sz w:val="28"/>
          <w:szCs w:val="28"/>
          <w:highlight w:val="none"/>
          <w:lang w:bidi="ar"/>
        </w:rPr>
        <w:t>签</w:t>
      </w:r>
      <w:r>
        <w:rPr>
          <w:rFonts w:hint="eastAsia" w:ascii="仿宋" w:hAnsi="仿宋" w:eastAsia="仿宋" w:cs="仿宋"/>
          <w:b/>
          <w:spacing w:val="23"/>
          <w:kern w:val="0"/>
          <w:sz w:val="28"/>
          <w:szCs w:val="28"/>
          <w:highlight w:val="none"/>
          <w:lang w:val="en-US" w:eastAsia="zh-CN" w:bidi="ar"/>
        </w:rPr>
        <w:t xml:space="preserve"> </w:t>
      </w:r>
      <w:r>
        <w:rPr>
          <w:rFonts w:hint="eastAsia" w:ascii="仿宋" w:hAnsi="仿宋" w:eastAsia="仿宋" w:cs="仿宋"/>
          <w:b/>
          <w:spacing w:val="23"/>
          <w:kern w:val="0"/>
          <w:sz w:val="28"/>
          <w:szCs w:val="28"/>
          <w:highlight w:val="none"/>
          <w:lang w:bidi="ar"/>
        </w:rPr>
        <w:t>订</w:t>
      </w:r>
      <w:r>
        <w:rPr>
          <w:rFonts w:hint="eastAsia" w:ascii="仿宋" w:hAnsi="仿宋" w:eastAsia="仿宋" w:cs="仿宋"/>
          <w:b/>
          <w:spacing w:val="23"/>
          <w:kern w:val="0"/>
          <w:sz w:val="28"/>
          <w:szCs w:val="28"/>
          <w:highlight w:val="none"/>
          <w:lang w:val="en-US" w:eastAsia="zh-CN" w:bidi="ar"/>
        </w:rPr>
        <w:t xml:space="preserve"> </w:t>
      </w:r>
      <w:r>
        <w:rPr>
          <w:rFonts w:hint="eastAsia" w:ascii="仿宋" w:hAnsi="仿宋" w:eastAsia="仿宋" w:cs="仿宋"/>
          <w:b/>
          <w:spacing w:val="23"/>
          <w:kern w:val="0"/>
          <w:sz w:val="28"/>
          <w:szCs w:val="28"/>
          <w:highlight w:val="none"/>
          <w:lang w:bidi="ar"/>
        </w:rPr>
        <w:t>时</w:t>
      </w:r>
      <w:r>
        <w:rPr>
          <w:rFonts w:hint="eastAsia" w:ascii="仿宋" w:hAnsi="仿宋" w:eastAsia="仿宋" w:cs="仿宋"/>
          <w:b/>
          <w:spacing w:val="23"/>
          <w:kern w:val="0"/>
          <w:sz w:val="28"/>
          <w:szCs w:val="28"/>
          <w:highlight w:val="none"/>
          <w:lang w:val="en-US" w:eastAsia="zh-CN" w:bidi="ar"/>
        </w:rPr>
        <w:t xml:space="preserve"> </w:t>
      </w:r>
      <w:r>
        <w:rPr>
          <w:rFonts w:hint="eastAsia" w:ascii="仿宋" w:hAnsi="仿宋" w:eastAsia="仿宋" w:cs="仿宋"/>
          <w:b/>
          <w:spacing w:val="23"/>
          <w:kern w:val="0"/>
          <w:sz w:val="28"/>
          <w:szCs w:val="28"/>
          <w:highlight w:val="none"/>
          <w:lang w:bidi="ar"/>
        </w:rPr>
        <w:t>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月</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日</w:t>
      </w:r>
    </w:p>
    <w:p w14:paraId="15C64431">
      <w:pPr>
        <w:pStyle w:val="11"/>
        <w:widowControl/>
        <w:adjustRightInd w:val="0"/>
        <w:spacing w:line="560" w:lineRule="exact"/>
        <w:rPr>
          <w:rFonts w:hint="eastAsia" w:ascii="仿宋" w:hAnsi="仿宋" w:eastAsia="仿宋" w:cs="仿宋"/>
          <w:b/>
          <w:spacing w:val="23"/>
          <w:kern w:val="0"/>
          <w:sz w:val="28"/>
          <w:szCs w:val="28"/>
          <w:highlight w:val="none"/>
          <w:lang w:bidi="ar"/>
        </w:rPr>
      </w:pPr>
    </w:p>
    <w:p w14:paraId="005D0FF7">
      <w:pPr>
        <w:pStyle w:val="11"/>
        <w:widowControl/>
        <w:adjustRightInd w:val="0"/>
        <w:spacing w:line="560" w:lineRule="exact"/>
        <w:rPr>
          <w:rFonts w:hint="eastAsia" w:ascii="仿宋" w:hAnsi="仿宋" w:eastAsia="仿宋" w:cs="仿宋"/>
          <w:b/>
          <w:spacing w:val="23"/>
          <w:kern w:val="0"/>
          <w:sz w:val="28"/>
          <w:szCs w:val="28"/>
          <w:highlight w:val="none"/>
          <w:lang w:bidi="ar"/>
        </w:rPr>
      </w:pPr>
    </w:p>
    <w:p w14:paraId="0CDFB6E8">
      <w:pPr>
        <w:keepNext w:val="0"/>
        <w:keepLines w:val="0"/>
        <w:pageBreakBefore w:val="0"/>
        <w:widowControl/>
        <w:kinsoku/>
        <w:wordWrap/>
        <w:overflowPunct/>
        <w:topLinePunct w:val="0"/>
        <w:autoSpaceDE/>
        <w:autoSpaceDN/>
        <w:bidi w:val="0"/>
        <w:spacing w:line="500" w:lineRule="exact"/>
        <w:jc w:val="center"/>
        <w:textAlignment w:val="auto"/>
        <w:rPr>
          <w:rFonts w:hint="eastAsia" w:ascii="仿宋" w:hAnsi="仿宋" w:eastAsia="仿宋" w:cs="仿宋"/>
          <w:b/>
          <w:sz w:val="28"/>
          <w:szCs w:val="28"/>
          <w:highlight w:val="none"/>
          <w:lang w:bidi="ar"/>
        </w:rPr>
      </w:pPr>
    </w:p>
    <w:p w14:paraId="3AC7CF7D">
      <w:pPr>
        <w:keepNext w:val="0"/>
        <w:keepLines w:val="0"/>
        <w:pageBreakBefore w:val="0"/>
        <w:widowControl/>
        <w:kinsoku/>
        <w:wordWrap/>
        <w:overflowPunct/>
        <w:topLinePunct w:val="0"/>
        <w:autoSpaceDE/>
        <w:autoSpaceDN/>
        <w:bidi w:val="0"/>
        <w:spacing w:line="500" w:lineRule="exact"/>
        <w:jc w:val="center"/>
        <w:textAlignment w:val="auto"/>
        <w:rPr>
          <w:rFonts w:hint="eastAsia" w:ascii="仿宋" w:hAnsi="仿宋" w:eastAsia="仿宋" w:cs="仿宋"/>
          <w:b/>
          <w:sz w:val="28"/>
          <w:szCs w:val="28"/>
          <w:highlight w:val="none"/>
          <w:lang w:bidi="ar"/>
        </w:rPr>
      </w:pPr>
    </w:p>
    <w:p w14:paraId="7A3FA934">
      <w:pPr>
        <w:keepNext w:val="0"/>
        <w:keepLines w:val="0"/>
        <w:pageBreakBefore w:val="0"/>
        <w:widowControl/>
        <w:kinsoku/>
        <w:wordWrap/>
        <w:overflowPunct/>
        <w:topLinePunct w:val="0"/>
        <w:autoSpaceDE/>
        <w:autoSpaceDN/>
        <w:bidi w:val="0"/>
        <w:spacing w:line="500" w:lineRule="exact"/>
        <w:jc w:val="center"/>
        <w:textAlignment w:val="auto"/>
        <w:rPr>
          <w:rFonts w:hint="eastAsia" w:ascii="仿宋" w:hAnsi="仿宋" w:eastAsia="仿宋" w:cs="仿宋"/>
          <w:b/>
          <w:sz w:val="28"/>
          <w:szCs w:val="28"/>
          <w:highlight w:val="none"/>
          <w:lang w:bidi="ar"/>
        </w:rPr>
      </w:pPr>
    </w:p>
    <w:p w14:paraId="5CB0EC53">
      <w:pPr>
        <w:keepNext w:val="0"/>
        <w:keepLines w:val="0"/>
        <w:pageBreakBefore w:val="0"/>
        <w:widowControl/>
        <w:kinsoku/>
        <w:wordWrap/>
        <w:overflowPunct/>
        <w:topLinePunct w:val="0"/>
        <w:autoSpaceDE/>
        <w:autoSpaceDN/>
        <w:bidi w:val="0"/>
        <w:spacing w:line="500" w:lineRule="exact"/>
        <w:jc w:val="center"/>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合同范本</w:t>
      </w:r>
    </w:p>
    <w:p w14:paraId="0368CF2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甲方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采购人</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r>
        <w:rPr>
          <w:rFonts w:hint="eastAsia" w:ascii="仿宋" w:hAnsi="仿宋" w:eastAsia="仿宋" w:cs="仿宋"/>
          <w:b w:val="0"/>
          <w:bCs/>
          <w:color w:val="auto"/>
          <w:sz w:val="24"/>
          <w:szCs w:val="24"/>
          <w:highlight w:val="none"/>
          <w:u w:val="single"/>
          <w:lang w:bidi="ar"/>
        </w:rPr>
        <w:t xml:space="preserve">               </w:t>
      </w:r>
    </w:p>
    <w:p w14:paraId="17F7497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乙方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供应商</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r>
        <w:rPr>
          <w:rFonts w:hint="eastAsia" w:ascii="仿宋" w:hAnsi="仿宋" w:eastAsia="仿宋" w:cs="仿宋"/>
          <w:b w:val="0"/>
          <w:bCs/>
          <w:color w:val="auto"/>
          <w:sz w:val="24"/>
          <w:szCs w:val="24"/>
          <w:highlight w:val="none"/>
          <w:u w:val="single"/>
          <w:lang w:bidi="ar"/>
        </w:rPr>
        <w:t xml:space="preserve">               </w:t>
      </w:r>
    </w:p>
    <w:p w14:paraId="7C65221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甲乙双方根据</w:t>
      </w:r>
      <w:r>
        <w:rPr>
          <w:rFonts w:hint="eastAsia" w:ascii="仿宋" w:hAnsi="仿宋" w:eastAsia="仿宋" w:cs="仿宋"/>
          <w:b w:val="0"/>
          <w:bCs/>
          <w:color w:val="auto"/>
          <w:sz w:val="24"/>
          <w:szCs w:val="24"/>
          <w:highlight w:val="none"/>
          <w:u w:val="single"/>
          <w:lang w:val="en-US" w:eastAsia="zh-CN" w:bidi="ar"/>
        </w:rPr>
        <w:t xml:space="preserve">           </w:t>
      </w:r>
      <w:r>
        <w:rPr>
          <w:rFonts w:hint="eastAsia" w:ascii="仿宋" w:hAnsi="仿宋" w:eastAsia="仿宋" w:cs="仿宋"/>
          <w:b w:val="0"/>
          <w:bCs/>
          <w:color w:val="auto"/>
          <w:sz w:val="24"/>
          <w:szCs w:val="24"/>
          <w:highlight w:val="none"/>
          <w:lang w:bidi="ar"/>
        </w:rPr>
        <w:t>政府采购项目</w:t>
      </w:r>
      <w:r>
        <w:rPr>
          <w:rFonts w:hint="eastAsia" w:ascii="仿宋" w:hAnsi="仿宋" w:eastAsia="仿宋" w:cs="仿宋"/>
          <w:b w:val="0"/>
          <w:bCs/>
          <w:color w:val="auto"/>
          <w:sz w:val="24"/>
          <w:szCs w:val="24"/>
          <w:highlight w:val="none"/>
          <w:lang w:eastAsia="zh-CN" w:bidi="ar"/>
        </w:rPr>
        <w:t>（项目编号：</w:t>
      </w:r>
      <w:r>
        <w:rPr>
          <w:rFonts w:hint="eastAsia" w:ascii="仿宋" w:hAnsi="仿宋" w:eastAsia="仿宋" w:cs="仿宋"/>
          <w:b w:val="0"/>
          <w:bCs/>
          <w:color w:val="auto"/>
          <w:sz w:val="24"/>
          <w:szCs w:val="24"/>
          <w:highlight w:val="none"/>
          <w:u w:val="single"/>
          <w:lang w:val="en-US" w:eastAsia="zh-CN" w:bidi="ar"/>
        </w:rPr>
        <w:t xml:space="preserve">     </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采购结果及相关</w:t>
      </w:r>
      <w:r>
        <w:rPr>
          <w:rFonts w:hint="eastAsia" w:ascii="仿宋" w:hAnsi="仿宋" w:eastAsia="仿宋" w:cs="仿宋"/>
          <w:b w:val="0"/>
          <w:bCs/>
          <w:color w:val="auto"/>
          <w:sz w:val="24"/>
          <w:szCs w:val="24"/>
          <w:highlight w:val="none"/>
          <w:lang w:eastAsia="zh-CN" w:bidi="ar"/>
        </w:rPr>
        <w:t>竞争性磋商</w:t>
      </w:r>
      <w:r>
        <w:rPr>
          <w:rFonts w:hint="eastAsia" w:ascii="仿宋" w:hAnsi="仿宋" w:eastAsia="仿宋" w:cs="仿宋"/>
          <w:b w:val="0"/>
          <w:bCs/>
          <w:color w:val="auto"/>
          <w:sz w:val="24"/>
          <w:szCs w:val="24"/>
          <w:highlight w:val="none"/>
          <w:lang w:bidi="ar"/>
        </w:rPr>
        <w:t>文件</w:t>
      </w:r>
      <w:r>
        <w:rPr>
          <w:rFonts w:hint="eastAsia" w:ascii="仿宋" w:hAnsi="仿宋" w:eastAsia="仿宋" w:cs="仿宋"/>
          <w:b w:val="0"/>
          <w:bCs/>
          <w:color w:val="auto"/>
          <w:sz w:val="24"/>
          <w:szCs w:val="24"/>
          <w:highlight w:val="none"/>
          <w:lang w:eastAsia="zh-CN" w:bidi="ar"/>
        </w:rPr>
        <w:t>及响应文件</w:t>
      </w:r>
      <w:r>
        <w:rPr>
          <w:rFonts w:hint="eastAsia" w:ascii="仿宋" w:hAnsi="仿宋" w:eastAsia="仿宋" w:cs="仿宋"/>
          <w:b w:val="0"/>
          <w:bCs/>
          <w:color w:val="auto"/>
          <w:sz w:val="24"/>
          <w:szCs w:val="24"/>
          <w:highlight w:val="none"/>
          <w:lang w:bidi="ar"/>
        </w:rPr>
        <w:t>，经协商一致，订立本合同，供双方共同遵守：</w:t>
      </w:r>
    </w:p>
    <w:p w14:paraId="31FD827E">
      <w:pPr>
        <w:tabs>
          <w:tab w:val="left" w:pos="480"/>
        </w:tabs>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一、合同内容</w:t>
      </w:r>
    </w:p>
    <w:p w14:paraId="5F058407">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l、乙方负责按合同中确定的</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名称、</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品牌、制造商、规格型号、数量及配套内容进行供货；按时运到甲方指定的交货地点，负责产品到货后安装调试工作，达到正常使用；负责做好售后服务工作；</w:t>
      </w:r>
    </w:p>
    <w:p w14:paraId="61621BA9">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竞争性磋商</w:t>
      </w:r>
      <w:r>
        <w:rPr>
          <w:rFonts w:hint="eastAsia" w:ascii="仿宋" w:hAnsi="仿宋" w:eastAsia="仿宋" w:cs="仿宋"/>
          <w:color w:val="auto"/>
          <w:sz w:val="24"/>
          <w:szCs w:val="24"/>
        </w:rPr>
        <w:t>文件、乙方的</w:t>
      </w:r>
      <w:r>
        <w:rPr>
          <w:rFonts w:hint="eastAsia" w:ascii="仿宋" w:hAnsi="仿宋" w:eastAsia="仿宋" w:cs="仿宋"/>
          <w:color w:val="auto"/>
          <w:sz w:val="24"/>
          <w:szCs w:val="24"/>
          <w:lang w:eastAsia="zh-CN"/>
        </w:rPr>
        <w:t>竞争性磋商响应</w:t>
      </w:r>
      <w:r>
        <w:rPr>
          <w:rFonts w:hint="eastAsia" w:ascii="仿宋" w:hAnsi="仿宋" w:eastAsia="仿宋" w:cs="仿宋"/>
          <w:color w:val="auto"/>
          <w:sz w:val="24"/>
          <w:szCs w:val="24"/>
        </w:rPr>
        <w:t>文件及评标过程中的澄清、承诺内容均作为本合同的组成部分，具有同等法律效力。</w:t>
      </w:r>
    </w:p>
    <w:p w14:paraId="09A50321">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二、合同价款及质保期</w:t>
      </w:r>
    </w:p>
    <w:p w14:paraId="58290CCD">
      <w:pPr>
        <w:tabs>
          <w:tab w:val="left" w:pos="5427"/>
        </w:tabs>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1、合同总价：     单位：元</w:t>
      </w:r>
      <w:r>
        <w:rPr>
          <w:rFonts w:hint="eastAsia" w:ascii="仿宋" w:hAnsi="仿宋" w:eastAsia="仿宋" w:cs="仿宋"/>
          <w:color w:val="auto"/>
          <w:sz w:val="24"/>
          <w:szCs w:val="24"/>
        </w:rPr>
        <w:tab/>
      </w:r>
    </w:p>
    <w:tbl>
      <w:tblPr>
        <w:tblStyle w:val="13"/>
        <w:tblW w:w="8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7"/>
        <w:gridCol w:w="1169"/>
        <w:gridCol w:w="1035"/>
        <w:gridCol w:w="1140"/>
        <w:gridCol w:w="825"/>
        <w:gridCol w:w="855"/>
        <w:gridCol w:w="783"/>
        <w:gridCol w:w="957"/>
        <w:gridCol w:w="621"/>
      </w:tblGrid>
      <w:tr w14:paraId="73D2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357" w:type="dxa"/>
            <w:tcBorders>
              <w:top w:val="single" w:color="auto" w:sz="4" w:space="0"/>
              <w:left w:val="single" w:color="auto" w:sz="4" w:space="0"/>
              <w:bottom w:val="single" w:color="auto" w:sz="4" w:space="0"/>
              <w:right w:val="single" w:color="auto" w:sz="4" w:space="0"/>
            </w:tcBorders>
            <w:noWrap/>
            <w:vAlign w:val="center"/>
          </w:tcPr>
          <w:p w14:paraId="49B38AA8">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序号</w:t>
            </w:r>
          </w:p>
        </w:tc>
        <w:tc>
          <w:tcPr>
            <w:tcW w:w="1169" w:type="dxa"/>
            <w:tcBorders>
              <w:top w:val="single" w:color="auto" w:sz="4" w:space="0"/>
              <w:left w:val="single" w:color="auto" w:sz="4" w:space="0"/>
              <w:bottom w:val="single" w:color="auto" w:sz="4" w:space="0"/>
              <w:right w:val="single" w:color="auto" w:sz="4" w:space="0"/>
            </w:tcBorders>
            <w:noWrap/>
            <w:vAlign w:val="center"/>
          </w:tcPr>
          <w:p w14:paraId="5F511B6C">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名称</w:t>
            </w:r>
          </w:p>
        </w:tc>
        <w:tc>
          <w:tcPr>
            <w:tcW w:w="1035" w:type="dxa"/>
            <w:tcBorders>
              <w:top w:val="single" w:color="auto" w:sz="4" w:space="0"/>
              <w:left w:val="single" w:color="auto" w:sz="4" w:space="0"/>
              <w:bottom w:val="single" w:color="auto" w:sz="4" w:space="0"/>
              <w:right w:val="single" w:color="auto" w:sz="4" w:space="0"/>
            </w:tcBorders>
            <w:noWrap/>
            <w:vAlign w:val="center"/>
          </w:tcPr>
          <w:p w14:paraId="1BF1AC17">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lang w:val="en-US" w:eastAsia="zh-CN"/>
              </w:rPr>
              <w:t>规格</w:t>
            </w:r>
            <w:r>
              <w:rPr>
                <w:rFonts w:hint="eastAsia" w:ascii="仿宋" w:hAnsi="仿宋" w:eastAsia="仿宋" w:cs="仿宋"/>
                <w:sz w:val="22"/>
                <w:szCs w:val="22"/>
              </w:rPr>
              <w:t>型号</w:t>
            </w:r>
          </w:p>
        </w:tc>
        <w:tc>
          <w:tcPr>
            <w:tcW w:w="1140" w:type="dxa"/>
            <w:tcBorders>
              <w:top w:val="single" w:color="auto" w:sz="4" w:space="0"/>
              <w:left w:val="single" w:color="auto" w:sz="4" w:space="0"/>
              <w:bottom w:val="single" w:color="auto" w:sz="4" w:space="0"/>
              <w:right w:val="single" w:color="auto" w:sz="4" w:space="0"/>
            </w:tcBorders>
            <w:noWrap/>
            <w:vAlign w:val="center"/>
          </w:tcPr>
          <w:p w14:paraId="45D8B9BD">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产地</w:t>
            </w:r>
          </w:p>
        </w:tc>
        <w:tc>
          <w:tcPr>
            <w:tcW w:w="825" w:type="dxa"/>
            <w:tcBorders>
              <w:top w:val="single" w:color="auto" w:sz="4" w:space="0"/>
              <w:left w:val="single" w:color="auto" w:sz="4" w:space="0"/>
              <w:bottom w:val="single" w:color="auto" w:sz="4" w:space="0"/>
              <w:right w:val="single" w:color="auto" w:sz="4" w:space="0"/>
            </w:tcBorders>
            <w:noWrap/>
            <w:vAlign w:val="center"/>
          </w:tcPr>
          <w:p w14:paraId="2DACF7FB">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制造商名称</w:t>
            </w:r>
          </w:p>
        </w:tc>
        <w:tc>
          <w:tcPr>
            <w:tcW w:w="855" w:type="dxa"/>
            <w:tcBorders>
              <w:top w:val="single" w:color="auto" w:sz="4" w:space="0"/>
              <w:left w:val="single" w:color="auto" w:sz="4" w:space="0"/>
              <w:bottom w:val="single" w:color="auto" w:sz="4" w:space="0"/>
              <w:right w:val="single" w:color="auto" w:sz="4" w:space="0"/>
            </w:tcBorders>
            <w:noWrap/>
            <w:vAlign w:val="center"/>
          </w:tcPr>
          <w:p w14:paraId="55166C90">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单价（元）</w:t>
            </w:r>
          </w:p>
        </w:tc>
        <w:tc>
          <w:tcPr>
            <w:tcW w:w="783" w:type="dxa"/>
            <w:tcBorders>
              <w:top w:val="single" w:color="auto" w:sz="4" w:space="0"/>
              <w:left w:val="single" w:color="auto" w:sz="4" w:space="0"/>
              <w:bottom w:val="single" w:color="auto" w:sz="4" w:space="0"/>
              <w:right w:val="single" w:color="auto" w:sz="4" w:space="0"/>
            </w:tcBorders>
            <w:noWrap/>
            <w:vAlign w:val="center"/>
          </w:tcPr>
          <w:p w14:paraId="76875C4A">
            <w:pPr>
              <w:spacing w:line="0" w:lineRule="atLeast"/>
              <w:jc w:val="center"/>
              <w:rPr>
                <w:rFonts w:hint="eastAsia" w:ascii="仿宋" w:hAnsi="仿宋" w:eastAsia="仿宋" w:cs="仿宋"/>
                <w:color w:val="auto"/>
                <w:sz w:val="24"/>
                <w:szCs w:val="24"/>
              </w:rPr>
            </w:pPr>
            <w:r>
              <w:rPr>
                <w:rFonts w:hint="eastAsia" w:ascii="仿宋" w:hAnsi="仿宋" w:eastAsia="仿宋" w:cs="仿宋"/>
                <w:sz w:val="22"/>
                <w:szCs w:val="22"/>
              </w:rPr>
              <w:t>数量</w:t>
            </w:r>
          </w:p>
        </w:tc>
        <w:tc>
          <w:tcPr>
            <w:tcW w:w="957" w:type="dxa"/>
            <w:tcBorders>
              <w:top w:val="single" w:color="auto" w:sz="4" w:space="0"/>
              <w:left w:val="single" w:color="auto" w:sz="4" w:space="0"/>
              <w:bottom w:val="single" w:color="auto" w:sz="4" w:space="0"/>
              <w:right w:val="single" w:color="auto" w:sz="4" w:space="0"/>
            </w:tcBorders>
            <w:noWrap/>
            <w:vAlign w:val="center"/>
          </w:tcPr>
          <w:p w14:paraId="0369741A">
            <w:pPr>
              <w:spacing w:line="0" w:lineRule="atLeast"/>
              <w:jc w:val="center"/>
              <w:rPr>
                <w:rFonts w:hint="eastAsia" w:ascii="仿宋" w:hAnsi="仿宋" w:eastAsia="仿宋" w:cs="仿宋"/>
                <w:color w:val="auto"/>
                <w:sz w:val="24"/>
                <w:szCs w:val="24"/>
              </w:rPr>
            </w:pPr>
            <w:r>
              <w:rPr>
                <w:rFonts w:hint="eastAsia" w:ascii="仿宋" w:hAnsi="仿宋" w:eastAsia="仿宋" w:cs="仿宋"/>
                <w:bCs/>
                <w:sz w:val="22"/>
                <w:szCs w:val="22"/>
              </w:rPr>
              <w:t>总价（元）</w:t>
            </w:r>
          </w:p>
        </w:tc>
        <w:tc>
          <w:tcPr>
            <w:tcW w:w="621" w:type="dxa"/>
            <w:tcBorders>
              <w:top w:val="single" w:color="auto" w:sz="4" w:space="0"/>
              <w:left w:val="single" w:color="auto" w:sz="4" w:space="0"/>
              <w:bottom w:val="single" w:color="auto" w:sz="4" w:space="0"/>
              <w:right w:val="single" w:color="auto" w:sz="4" w:space="0"/>
            </w:tcBorders>
            <w:noWrap/>
            <w:vAlign w:val="center"/>
          </w:tcPr>
          <w:p w14:paraId="044AC956">
            <w:pPr>
              <w:spacing w:line="56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备注</w:t>
            </w:r>
          </w:p>
        </w:tc>
      </w:tr>
      <w:tr w14:paraId="67EC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7" w:type="dxa"/>
            <w:tcBorders>
              <w:top w:val="single" w:color="auto" w:sz="4" w:space="0"/>
              <w:left w:val="single" w:color="auto" w:sz="4" w:space="0"/>
              <w:bottom w:val="single" w:color="auto" w:sz="4" w:space="0"/>
              <w:right w:val="single" w:color="auto" w:sz="4" w:space="0"/>
            </w:tcBorders>
            <w:noWrap/>
            <w:vAlign w:val="center"/>
          </w:tcPr>
          <w:p w14:paraId="7ED625C3">
            <w:pPr>
              <w:spacing w:line="560" w:lineRule="exact"/>
              <w:rPr>
                <w:rFonts w:hint="eastAsia" w:ascii="仿宋" w:hAnsi="仿宋" w:eastAsia="仿宋" w:cs="仿宋"/>
                <w:color w:val="auto"/>
                <w:sz w:val="24"/>
                <w:szCs w:val="24"/>
              </w:rPr>
            </w:pPr>
          </w:p>
        </w:tc>
        <w:tc>
          <w:tcPr>
            <w:tcW w:w="1169" w:type="dxa"/>
            <w:tcBorders>
              <w:top w:val="single" w:color="auto" w:sz="4" w:space="0"/>
              <w:left w:val="single" w:color="auto" w:sz="4" w:space="0"/>
              <w:bottom w:val="single" w:color="auto" w:sz="4" w:space="0"/>
              <w:right w:val="single" w:color="auto" w:sz="4" w:space="0"/>
            </w:tcBorders>
            <w:noWrap/>
            <w:vAlign w:val="center"/>
          </w:tcPr>
          <w:p w14:paraId="247D6C63">
            <w:pPr>
              <w:spacing w:line="560" w:lineRule="exact"/>
              <w:rPr>
                <w:rFonts w:hint="eastAsia" w:ascii="仿宋" w:hAnsi="仿宋" w:eastAsia="仿宋" w:cs="仿宋"/>
                <w:color w:val="auto"/>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1FC0AB6C">
            <w:pPr>
              <w:spacing w:line="560" w:lineRule="exact"/>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ign w:val="center"/>
          </w:tcPr>
          <w:p w14:paraId="7594C6AA">
            <w:pPr>
              <w:spacing w:line="560" w:lineRule="exact"/>
              <w:rPr>
                <w:rFonts w:hint="eastAsia" w:ascii="仿宋" w:hAnsi="仿宋" w:eastAsia="仿宋" w:cs="仿宋"/>
                <w:color w:val="auto"/>
                <w:sz w:val="24"/>
                <w:szCs w:val="24"/>
              </w:rPr>
            </w:pPr>
          </w:p>
        </w:tc>
        <w:tc>
          <w:tcPr>
            <w:tcW w:w="825" w:type="dxa"/>
            <w:tcBorders>
              <w:top w:val="single" w:color="auto" w:sz="4" w:space="0"/>
              <w:left w:val="single" w:color="auto" w:sz="4" w:space="0"/>
              <w:bottom w:val="single" w:color="auto" w:sz="4" w:space="0"/>
              <w:right w:val="single" w:color="auto" w:sz="4" w:space="0"/>
            </w:tcBorders>
            <w:noWrap/>
            <w:vAlign w:val="center"/>
          </w:tcPr>
          <w:p w14:paraId="1D004FF4">
            <w:pPr>
              <w:spacing w:line="560" w:lineRule="exact"/>
              <w:rPr>
                <w:rFonts w:hint="eastAsia" w:ascii="仿宋" w:hAnsi="仿宋" w:eastAsia="仿宋" w:cs="仿宋"/>
                <w:color w:val="auto"/>
                <w:sz w:val="24"/>
                <w:szCs w:val="24"/>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13CEC39F">
            <w:pPr>
              <w:spacing w:line="560" w:lineRule="exact"/>
              <w:rPr>
                <w:rFonts w:hint="eastAsia" w:ascii="仿宋" w:hAnsi="仿宋" w:eastAsia="仿宋" w:cs="仿宋"/>
                <w:color w:val="auto"/>
                <w:sz w:val="24"/>
                <w:szCs w:val="24"/>
              </w:rPr>
            </w:pPr>
          </w:p>
        </w:tc>
        <w:tc>
          <w:tcPr>
            <w:tcW w:w="783" w:type="dxa"/>
            <w:tcBorders>
              <w:top w:val="single" w:color="auto" w:sz="4" w:space="0"/>
              <w:left w:val="single" w:color="auto" w:sz="4" w:space="0"/>
              <w:bottom w:val="single" w:color="auto" w:sz="4" w:space="0"/>
              <w:right w:val="single" w:color="auto" w:sz="4" w:space="0"/>
            </w:tcBorders>
            <w:noWrap/>
            <w:vAlign w:val="center"/>
          </w:tcPr>
          <w:p w14:paraId="43AE84AC">
            <w:pPr>
              <w:spacing w:line="560" w:lineRule="exact"/>
              <w:rPr>
                <w:rFonts w:hint="eastAsia" w:ascii="仿宋" w:hAnsi="仿宋" w:eastAsia="仿宋" w:cs="仿宋"/>
                <w:color w:val="auto"/>
                <w:sz w:val="24"/>
                <w:szCs w:val="24"/>
              </w:rPr>
            </w:pPr>
          </w:p>
        </w:tc>
        <w:tc>
          <w:tcPr>
            <w:tcW w:w="957" w:type="dxa"/>
            <w:tcBorders>
              <w:top w:val="single" w:color="auto" w:sz="4" w:space="0"/>
              <w:left w:val="single" w:color="auto" w:sz="4" w:space="0"/>
              <w:bottom w:val="single" w:color="auto" w:sz="4" w:space="0"/>
              <w:right w:val="single" w:color="auto" w:sz="4" w:space="0"/>
            </w:tcBorders>
            <w:noWrap/>
            <w:vAlign w:val="center"/>
          </w:tcPr>
          <w:p w14:paraId="0903D17B">
            <w:pPr>
              <w:spacing w:line="560" w:lineRule="exact"/>
              <w:rPr>
                <w:rFonts w:hint="eastAsia" w:ascii="仿宋" w:hAnsi="仿宋" w:eastAsia="仿宋" w:cs="仿宋"/>
                <w:color w:val="auto"/>
                <w:sz w:val="24"/>
                <w:szCs w:val="24"/>
              </w:rPr>
            </w:pPr>
          </w:p>
        </w:tc>
        <w:tc>
          <w:tcPr>
            <w:tcW w:w="621" w:type="dxa"/>
            <w:tcBorders>
              <w:top w:val="single" w:color="auto" w:sz="4" w:space="0"/>
              <w:left w:val="single" w:color="auto" w:sz="4" w:space="0"/>
              <w:bottom w:val="single" w:color="auto" w:sz="4" w:space="0"/>
              <w:right w:val="single" w:color="auto" w:sz="4" w:space="0"/>
            </w:tcBorders>
            <w:noWrap/>
            <w:vAlign w:val="center"/>
          </w:tcPr>
          <w:p w14:paraId="7F4623D1">
            <w:pPr>
              <w:spacing w:line="560" w:lineRule="exact"/>
              <w:rPr>
                <w:rFonts w:hint="eastAsia" w:ascii="仿宋" w:hAnsi="仿宋" w:eastAsia="仿宋" w:cs="仿宋"/>
                <w:color w:val="auto"/>
                <w:sz w:val="24"/>
                <w:szCs w:val="24"/>
              </w:rPr>
            </w:pPr>
          </w:p>
        </w:tc>
      </w:tr>
      <w:tr w14:paraId="4E10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7" w:type="dxa"/>
            <w:tcBorders>
              <w:top w:val="single" w:color="auto" w:sz="4" w:space="0"/>
              <w:left w:val="single" w:color="auto" w:sz="4" w:space="0"/>
              <w:bottom w:val="single" w:color="auto" w:sz="4" w:space="0"/>
              <w:right w:val="single" w:color="auto" w:sz="4" w:space="0"/>
            </w:tcBorders>
            <w:noWrap/>
            <w:vAlign w:val="center"/>
          </w:tcPr>
          <w:p w14:paraId="1311B2FD">
            <w:pPr>
              <w:spacing w:line="560" w:lineRule="exact"/>
              <w:rPr>
                <w:rFonts w:hint="eastAsia" w:ascii="仿宋" w:hAnsi="仿宋" w:eastAsia="仿宋" w:cs="仿宋"/>
                <w:color w:val="auto"/>
                <w:sz w:val="24"/>
                <w:szCs w:val="24"/>
              </w:rPr>
            </w:pPr>
          </w:p>
        </w:tc>
        <w:tc>
          <w:tcPr>
            <w:tcW w:w="1169" w:type="dxa"/>
            <w:tcBorders>
              <w:top w:val="single" w:color="auto" w:sz="4" w:space="0"/>
              <w:left w:val="single" w:color="auto" w:sz="4" w:space="0"/>
              <w:bottom w:val="single" w:color="auto" w:sz="4" w:space="0"/>
              <w:right w:val="single" w:color="auto" w:sz="4" w:space="0"/>
            </w:tcBorders>
            <w:noWrap/>
            <w:vAlign w:val="center"/>
          </w:tcPr>
          <w:p w14:paraId="2AB85F02">
            <w:pPr>
              <w:spacing w:line="560" w:lineRule="exact"/>
              <w:rPr>
                <w:rFonts w:hint="eastAsia" w:ascii="仿宋" w:hAnsi="仿宋" w:eastAsia="仿宋" w:cs="仿宋"/>
                <w:color w:val="auto"/>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24E1AE49">
            <w:pPr>
              <w:spacing w:line="560" w:lineRule="exact"/>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ign w:val="center"/>
          </w:tcPr>
          <w:p w14:paraId="329432D7">
            <w:pPr>
              <w:spacing w:line="560" w:lineRule="exact"/>
              <w:rPr>
                <w:rFonts w:hint="eastAsia" w:ascii="仿宋" w:hAnsi="仿宋" w:eastAsia="仿宋" w:cs="仿宋"/>
                <w:color w:val="auto"/>
                <w:sz w:val="24"/>
                <w:szCs w:val="24"/>
              </w:rPr>
            </w:pPr>
          </w:p>
        </w:tc>
        <w:tc>
          <w:tcPr>
            <w:tcW w:w="825" w:type="dxa"/>
            <w:tcBorders>
              <w:top w:val="single" w:color="auto" w:sz="4" w:space="0"/>
              <w:left w:val="single" w:color="auto" w:sz="4" w:space="0"/>
              <w:bottom w:val="single" w:color="auto" w:sz="4" w:space="0"/>
              <w:right w:val="single" w:color="auto" w:sz="4" w:space="0"/>
            </w:tcBorders>
            <w:noWrap/>
            <w:vAlign w:val="center"/>
          </w:tcPr>
          <w:p w14:paraId="0E1EF9C4">
            <w:pPr>
              <w:spacing w:line="560" w:lineRule="exact"/>
              <w:rPr>
                <w:rFonts w:hint="eastAsia" w:ascii="仿宋" w:hAnsi="仿宋" w:eastAsia="仿宋" w:cs="仿宋"/>
                <w:color w:val="auto"/>
                <w:sz w:val="24"/>
                <w:szCs w:val="24"/>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30096D43">
            <w:pPr>
              <w:spacing w:line="560" w:lineRule="exact"/>
              <w:rPr>
                <w:rFonts w:hint="eastAsia" w:ascii="仿宋" w:hAnsi="仿宋" w:eastAsia="仿宋" w:cs="仿宋"/>
                <w:color w:val="auto"/>
                <w:sz w:val="24"/>
                <w:szCs w:val="24"/>
              </w:rPr>
            </w:pPr>
          </w:p>
        </w:tc>
        <w:tc>
          <w:tcPr>
            <w:tcW w:w="783" w:type="dxa"/>
            <w:tcBorders>
              <w:top w:val="single" w:color="auto" w:sz="4" w:space="0"/>
              <w:left w:val="single" w:color="auto" w:sz="4" w:space="0"/>
              <w:bottom w:val="single" w:color="auto" w:sz="4" w:space="0"/>
              <w:right w:val="single" w:color="auto" w:sz="4" w:space="0"/>
            </w:tcBorders>
            <w:noWrap/>
            <w:vAlign w:val="center"/>
          </w:tcPr>
          <w:p w14:paraId="075920D8">
            <w:pPr>
              <w:spacing w:line="560" w:lineRule="exact"/>
              <w:rPr>
                <w:rFonts w:hint="eastAsia" w:ascii="仿宋" w:hAnsi="仿宋" w:eastAsia="仿宋" w:cs="仿宋"/>
                <w:color w:val="auto"/>
                <w:sz w:val="24"/>
                <w:szCs w:val="24"/>
              </w:rPr>
            </w:pPr>
          </w:p>
        </w:tc>
        <w:tc>
          <w:tcPr>
            <w:tcW w:w="957" w:type="dxa"/>
            <w:tcBorders>
              <w:top w:val="single" w:color="auto" w:sz="4" w:space="0"/>
              <w:left w:val="single" w:color="auto" w:sz="4" w:space="0"/>
              <w:bottom w:val="single" w:color="auto" w:sz="4" w:space="0"/>
              <w:right w:val="single" w:color="auto" w:sz="4" w:space="0"/>
            </w:tcBorders>
            <w:noWrap/>
            <w:vAlign w:val="center"/>
          </w:tcPr>
          <w:p w14:paraId="29564C31">
            <w:pPr>
              <w:spacing w:line="560" w:lineRule="exact"/>
              <w:rPr>
                <w:rFonts w:hint="eastAsia" w:ascii="仿宋" w:hAnsi="仿宋" w:eastAsia="仿宋" w:cs="仿宋"/>
                <w:color w:val="auto"/>
                <w:sz w:val="24"/>
                <w:szCs w:val="24"/>
              </w:rPr>
            </w:pPr>
          </w:p>
        </w:tc>
        <w:tc>
          <w:tcPr>
            <w:tcW w:w="621" w:type="dxa"/>
            <w:tcBorders>
              <w:top w:val="single" w:color="auto" w:sz="4" w:space="0"/>
              <w:left w:val="single" w:color="auto" w:sz="4" w:space="0"/>
              <w:bottom w:val="single" w:color="auto" w:sz="4" w:space="0"/>
              <w:right w:val="single" w:color="auto" w:sz="4" w:space="0"/>
            </w:tcBorders>
            <w:noWrap/>
            <w:vAlign w:val="center"/>
          </w:tcPr>
          <w:p w14:paraId="01A24F58">
            <w:pPr>
              <w:spacing w:line="560" w:lineRule="exact"/>
              <w:rPr>
                <w:rFonts w:hint="eastAsia" w:ascii="仿宋" w:hAnsi="仿宋" w:eastAsia="仿宋" w:cs="仿宋"/>
                <w:color w:val="auto"/>
                <w:sz w:val="24"/>
                <w:szCs w:val="24"/>
              </w:rPr>
            </w:pPr>
          </w:p>
        </w:tc>
      </w:tr>
      <w:tr w14:paraId="504E5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7" w:type="dxa"/>
            <w:tcBorders>
              <w:top w:val="single" w:color="auto" w:sz="4" w:space="0"/>
              <w:left w:val="single" w:color="auto" w:sz="4" w:space="0"/>
              <w:bottom w:val="single" w:color="auto" w:sz="4" w:space="0"/>
              <w:right w:val="single" w:color="auto" w:sz="4" w:space="0"/>
            </w:tcBorders>
            <w:noWrap/>
            <w:vAlign w:val="center"/>
          </w:tcPr>
          <w:p w14:paraId="4C1B4D71">
            <w:pPr>
              <w:spacing w:line="560" w:lineRule="exact"/>
              <w:rPr>
                <w:rFonts w:hint="eastAsia" w:ascii="仿宋" w:hAnsi="仿宋" w:eastAsia="仿宋" w:cs="仿宋"/>
                <w:color w:val="auto"/>
                <w:sz w:val="24"/>
                <w:szCs w:val="24"/>
              </w:rPr>
            </w:pPr>
          </w:p>
        </w:tc>
        <w:tc>
          <w:tcPr>
            <w:tcW w:w="1169" w:type="dxa"/>
            <w:tcBorders>
              <w:top w:val="single" w:color="auto" w:sz="4" w:space="0"/>
              <w:left w:val="single" w:color="auto" w:sz="4" w:space="0"/>
              <w:bottom w:val="single" w:color="auto" w:sz="4" w:space="0"/>
              <w:right w:val="single" w:color="auto" w:sz="4" w:space="0"/>
            </w:tcBorders>
            <w:noWrap/>
            <w:vAlign w:val="center"/>
          </w:tcPr>
          <w:p w14:paraId="3CF91061">
            <w:pPr>
              <w:spacing w:line="560" w:lineRule="exact"/>
              <w:rPr>
                <w:rFonts w:hint="eastAsia" w:ascii="仿宋" w:hAnsi="仿宋" w:eastAsia="仿宋" w:cs="仿宋"/>
                <w:color w:val="auto"/>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2B20453B">
            <w:pPr>
              <w:spacing w:line="560" w:lineRule="exact"/>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ign w:val="center"/>
          </w:tcPr>
          <w:p w14:paraId="504AD7C2">
            <w:pPr>
              <w:spacing w:line="560" w:lineRule="exact"/>
              <w:rPr>
                <w:rFonts w:hint="eastAsia" w:ascii="仿宋" w:hAnsi="仿宋" w:eastAsia="仿宋" w:cs="仿宋"/>
                <w:color w:val="auto"/>
                <w:sz w:val="24"/>
                <w:szCs w:val="24"/>
              </w:rPr>
            </w:pPr>
          </w:p>
        </w:tc>
        <w:tc>
          <w:tcPr>
            <w:tcW w:w="825" w:type="dxa"/>
            <w:tcBorders>
              <w:top w:val="single" w:color="auto" w:sz="4" w:space="0"/>
              <w:left w:val="single" w:color="auto" w:sz="4" w:space="0"/>
              <w:bottom w:val="single" w:color="auto" w:sz="4" w:space="0"/>
              <w:right w:val="single" w:color="auto" w:sz="4" w:space="0"/>
            </w:tcBorders>
            <w:noWrap/>
            <w:vAlign w:val="center"/>
          </w:tcPr>
          <w:p w14:paraId="61E2459A">
            <w:pPr>
              <w:spacing w:line="560" w:lineRule="exact"/>
              <w:rPr>
                <w:rFonts w:hint="eastAsia" w:ascii="仿宋" w:hAnsi="仿宋" w:eastAsia="仿宋" w:cs="仿宋"/>
                <w:color w:val="auto"/>
                <w:sz w:val="24"/>
                <w:szCs w:val="24"/>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10610162">
            <w:pPr>
              <w:spacing w:line="560" w:lineRule="exact"/>
              <w:rPr>
                <w:rFonts w:hint="eastAsia" w:ascii="仿宋" w:hAnsi="仿宋" w:eastAsia="仿宋" w:cs="仿宋"/>
                <w:color w:val="auto"/>
                <w:sz w:val="24"/>
                <w:szCs w:val="24"/>
              </w:rPr>
            </w:pPr>
          </w:p>
        </w:tc>
        <w:tc>
          <w:tcPr>
            <w:tcW w:w="783" w:type="dxa"/>
            <w:tcBorders>
              <w:top w:val="single" w:color="auto" w:sz="4" w:space="0"/>
              <w:left w:val="single" w:color="auto" w:sz="4" w:space="0"/>
              <w:bottom w:val="single" w:color="auto" w:sz="4" w:space="0"/>
              <w:right w:val="single" w:color="auto" w:sz="4" w:space="0"/>
            </w:tcBorders>
            <w:noWrap/>
            <w:vAlign w:val="center"/>
          </w:tcPr>
          <w:p w14:paraId="79DAD6AE">
            <w:pPr>
              <w:spacing w:line="560" w:lineRule="exact"/>
              <w:rPr>
                <w:rFonts w:hint="eastAsia" w:ascii="仿宋" w:hAnsi="仿宋" w:eastAsia="仿宋" w:cs="仿宋"/>
                <w:color w:val="auto"/>
                <w:sz w:val="24"/>
                <w:szCs w:val="24"/>
              </w:rPr>
            </w:pPr>
          </w:p>
        </w:tc>
        <w:tc>
          <w:tcPr>
            <w:tcW w:w="957" w:type="dxa"/>
            <w:tcBorders>
              <w:top w:val="single" w:color="auto" w:sz="4" w:space="0"/>
              <w:left w:val="single" w:color="auto" w:sz="4" w:space="0"/>
              <w:bottom w:val="single" w:color="auto" w:sz="4" w:space="0"/>
              <w:right w:val="single" w:color="auto" w:sz="4" w:space="0"/>
            </w:tcBorders>
            <w:noWrap/>
            <w:vAlign w:val="center"/>
          </w:tcPr>
          <w:p w14:paraId="10FD1236">
            <w:pPr>
              <w:spacing w:line="560" w:lineRule="exact"/>
              <w:rPr>
                <w:rFonts w:hint="eastAsia" w:ascii="仿宋" w:hAnsi="仿宋" w:eastAsia="仿宋" w:cs="仿宋"/>
                <w:color w:val="auto"/>
                <w:sz w:val="24"/>
                <w:szCs w:val="24"/>
              </w:rPr>
            </w:pPr>
          </w:p>
        </w:tc>
        <w:tc>
          <w:tcPr>
            <w:tcW w:w="621" w:type="dxa"/>
            <w:tcBorders>
              <w:top w:val="single" w:color="auto" w:sz="4" w:space="0"/>
              <w:left w:val="single" w:color="auto" w:sz="4" w:space="0"/>
              <w:bottom w:val="single" w:color="auto" w:sz="4" w:space="0"/>
              <w:right w:val="single" w:color="auto" w:sz="4" w:space="0"/>
            </w:tcBorders>
            <w:noWrap/>
            <w:vAlign w:val="center"/>
          </w:tcPr>
          <w:p w14:paraId="6369A9B5">
            <w:pPr>
              <w:spacing w:line="560" w:lineRule="exact"/>
              <w:rPr>
                <w:rFonts w:hint="eastAsia" w:ascii="仿宋" w:hAnsi="仿宋" w:eastAsia="仿宋" w:cs="仿宋"/>
                <w:color w:val="auto"/>
                <w:sz w:val="24"/>
                <w:szCs w:val="24"/>
              </w:rPr>
            </w:pPr>
          </w:p>
        </w:tc>
      </w:tr>
      <w:tr w14:paraId="6A06B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7" w:type="dxa"/>
            <w:tcBorders>
              <w:top w:val="single" w:color="auto" w:sz="4" w:space="0"/>
              <w:left w:val="single" w:color="auto" w:sz="4" w:space="0"/>
              <w:bottom w:val="single" w:color="auto" w:sz="4" w:space="0"/>
              <w:right w:val="single" w:color="auto" w:sz="4" w:space="0"/>
            </w:tcBorders>
            <w:noWrap/>
            <w:vAlign w:val="center"/>
          </w:tcPr>
          <w:p w14:paraId="186B91B5">
            <w:pPr>
              <w:spacing w:line="560" w:lineRule="exact"/>
              <w:rPr>
                <w:rFonts w:hint="eastAsia" w:ascii="仿宋" w:hAnsi="仿宋" w:eastAsia="仿宋" w:cs="仿宋"/>
                <w:color w:val="auto"/>
                <w:sz w:val="24"/>
                <w:szCs w:val="24"/>
              </w:rPr>
            </w:pPr>
          </w:p>
        </w:tc>
        <w:tc>
          <w:tcPr>
            <w:tcW w:w="1169" w:type="dxa"/>
            <w:tcBorders>
              <w:top w:val="single" w:color="auto" w:sz="4" w:space="0"/>
              <w:left w:val="single" w:color="auto" w:sz="4" w:space="0"/>
              <w:bottom w:val="single" w:color="auto" w:sz="4" w:space="0"/>
              <w:right w:val="single" w:color="auto" w:sz="4" w:space="0"/>
            </w:tcBorders>
            <w:noWrap/>
            <w:vAlign w:val="center"/>
          </w:tcPr>
          <w:p w14:paraId="52EC0475">
            <w:pPr>
              <w:spacing w:line="560" w:lineRule="exact"/>
              <w:rPr>
                <w:rFonts w:hint="eastAsia" w:ascii="仿宋" w:hAnsi="仿宋" w:eastAsia="仿宋" w:cs="仿宋"/>
                <w:color w:val="auto"/>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6A3B925D">
            <w:pPr>
              <w:spacing w:line="560" w:lineRule="exact"/>
              <w:rPr>
                <w:rFonts w:hint="eastAsia" w:ascii="仿宋" w:hAnsi="仿宋" w:eastAsia="仿宋" w:cs="仿宋"/>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ign w:val="center"/>
          </w:tcPr>
          <w:p w14:paraId="5CE291C8">
            <w:pPr>
              <w:spacing w:line="560" w:lineRule="exact"/>
              <w:rPr>
                <w:rFonts w:hint="eastAsia" w:ascii="仿宋" w:hAnsi="仿宋" w:eastAsia="仿宋" w:cs="仿宋"/>
                <w:color w:val="auto"/>
                <w:sz w:val="24"/>
                <w:szCs w:val="24"/>
              </w:rPr>
            </w:pPr>
          </w:p>
        </w:tc>
        <w:tc>
          <w:tcPr>
            <w:tcW w:w="825" w:type="dxa"/>
            <w:tcBorders>
              <w:top w:val="single" w:color="auto" w:sz="4" w:space="0"/>
              <w:left w:val="single" w:color="auto" w:sz="4" w:space="0"/>
              <w:bottom w:val="single" w:color="auto" w:sz="4" w:space="0"/>
              <w:right w:val="single" w:color="auto" w:sz="4" w:space="0"/>
            </w:tcBorders>
            <w:noWrap/>
            <w:vAlign w:val="center"/>
          </w:tcPr>
          <w:p w14:paraId="2D828B86">
            <w:pPr>
              <w:spacing w:line="560" w:lineRule="exact"/>
              <w:rPr>
                <w:rFonts w:hint="eastAsia" w:ascii="仿宋" w:hAnsi="仿宋" w:eastAsia="仿宋" w:cs="仿宋"/>
                <w:color w:val="auto"/>
                <w:sz w:val="24"/>
                <w:szCs w:val="24"/>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4A997D95">
            <w:pPr>
              <w:spacing w:line="560" w:lineRule="exact"/>
              <w:rPr>
                <w:rFonts w:hint="eastAsia" w:ascii="仿宋" w:hAnsi="仿宋" w:eastAsia="仿宋" w:cs="仿宋"/>
                <w:color w:val="auto"/>
                <w:sz w:val="24"/>
                <w:szCs w:val="24"/>
              </w:rPr>
            </w:pPr>
          </w:p>
        </w:tc>
        <w:tc>
          <w:tcPr>
            <w:tcW w:w="783" w:type="dxa"/>
            <w:tcBorders>
              <w:top w:val="single" w:color="auto" w:sz="4" w:space="0"/>
              <w:left w:val="single" w:color="auto" w:sz="4" w:space="0"/>
              <w:bottom w:val="single" w:color="auto" w:sz="4" w:space="0"/>
              <w:right w:val="single" w:color="auto" w:sz="4" w:space="0"/>
            </w:tcBorders>
            <w:noWrap/>
            <w:vAlign w:val="center"/>
          </w:tcPr>
          <w:p w14:paraId="44765FF2">
            <w:pPr>
              <w:spacing w:line="560" w:lineRule="exact"/>
              <w:rPr>
                <w:rFonts w:hint="eastAsia" w:ascii="仿宋" w:hAnsi="仿宋" w:eastAsia="仿宋" w:cs="仿宋"/>
                <w:color w:val="auto"/>
                <w:sz w:val="24"/>
                <w:szCs w:val="24"/>
              </w:rPr>
            </w:pPr>
          </w:p>
        </w:tc>
        <w:tc>
          <w:tcPr>
            <w:tcW w:w="957" w:type="dxa"/>
            <w:tcBorders>
              <w:top w:val="single" w:color="auto" w:sz="4" w:space="0"/>
              <w:left w:val="single" w:color="auto" w:sz="4" w:space="0"/>
              <w:bottom w:val="single" w:color="auto" w:sz="4" w:space="0"/>
              <w:right w:val="single" w:color="auto" w:sz="4" w:space="0"/>
            </w:tcBorders>
            <w:noWrap/>
            <w:vAlign w:val="center"/>
          </w:tcPr>
          <w:p w14:paraId="1FB2E7DE">
            <w:pPr>
              <w:spacing w:line="560" w:lineRule="exact"/>
              <w:rPr>
                <w:rFonts w:hint="eastAsia" w:ascii="仿宋" w:hAnsi="仿宋" w:eastAsia="仿宋" w:cs="仿宋"/>
                <w:color w:val="auto"/>
                <w:sz w:val="24"/>
                <w:szCs w:val="24"/>
              </w:rPr>
            </w:pPr>
          </w:p>
        </w:tc>
        <w:tc>
          <w:tcPr>
            <w:tcW w:w="621" w:type="dxa"/>
            <w:tcBorders>
              <w:top w:val="single" w:color="auto" w:sz="4" w:space="0"/>
              <w:left w:val="single" w:color="auto" w:sz="4" w:space="0"/>
              <w:bottom w:val="single" w:color="auto" w:sz="4" w:space="0"/>
              <w:right w:val="single" w:color="auto" w:sz="4" w:space="0"/>
            </w:tcBorders>
            <w:noWrap/>
            <w:vAlign w:val="center"/>
          </w:tcPr>
          <w:p w14:paraId="799E7BB3">
            <w:pPr>
              <w:spacing w:line="560" w:lineRule="exact"/>
              <w:rPr>
                <w:rFonts w:hint="eastAsia" w:ascii="仿宋" w:hAnsi="仿宋" w:eastAsia="仿宋" w:cs="仿宋"/>
                <w:color w:val="auto"/>
                <w:sz w:val="24"/>
                <w:szCs w:val="24"/>
              </w:rPr>
            </w:pPr>
          </w:p>
        </w:tc>
      </w:tr>
      <w:tr w14:paraId="5B428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526" w:type="dxa"/>
            <w:gridSpan w:val="2"/>
            <w:tcBorders>
              <w:top w:val="single" w:color="auto" w:sz="4" w:space="0"/>
              <w:left w:val="single" w:color="auto" w:sz="4" w:space="0"/>
              <w:bottom w:val="single" w:color="auto" w:sz="4" w:space="0"/>
              <w:right w:val="single" w:color="auto" w:sz="4" w:space="0"/>
            </w:tcBorders>
            <w:noWrap/>
            <w:vAlign w:val="center"/>
          </w:tcPr>
          <w:p w14:paraId="4F6DCB3E">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总价（人民币）：</w:t>
            </w:r>
          </w:p>
        </w:tc>
        <w:tc>
          <w:tcPr>
            <w:tcW w:w="6216" w:type="dxa"/>
            <w:gridSpan w:val="7"/>
            <w:tcBorders>
              <w:top w:val="single" w:color="auto" w:sz="4" w:space="0"/>
              <w:left w:val="single" w:color="auto" w:sz="4" w:space="0"/>
              <w:bottom w:val="single" w:color="auto" w:sz="4" w:space="0"/>
              <w:right w:val="single" w:color="auto" w:sz="4" w:space="0"/>
            </w:tcBorders>
            <w:noWrap/>
            <w:vAlign w:val="center"/>
          </w:tcPr>
          <w:p w14:paraId="135BC3C5">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大写：                               </w:t>
            </w:r>
          </w:p>
          <w:p w14:paraId="0B65725D">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小写 (¥                   )</w:t>
            </w:r>
          </w:p>
        </w:tc>
      </w:tr>
    </w:tbl>
    <w:p w14:paraId="363BE1B7">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2、合同总价包括</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 货物的设计、制造、运输、装卸、安装、维护、验收、税费、人员培训及质保等可能出现的一切费用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关于所采购货物本身随同配备的备品备件及</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的价格已包含于合同总价，不再额外收取费用投标人需保证所能够提供使用的备品备件属于经过合法授权的，确保备品备件产权归投标人所有。</w:t>
      </w:r>
    </w:p>
    <w:p w14:paraId="4BB26044">
      <w:pPr>
        <w:spacing w:line="560" w:lineRule="exact"/>
        <w:ind w:firstLine="480" w:firstLineChars="200"/>
        <w:rPr>
          <w:rFonts w:hint="eastAsia" w:ascii="仿宋" w:hAnsi="仿宋" w:eastAsia="仿宋" w:cs="仿宋"/>
          <w:bCs/>
          <w:color w:val="auto"/>
          <w:sz w:val="24"/>
          <w:szCs w:val="24"/>
        </w:rPr>
      </w:pPr>
      <w:r>
        <w:rPr>
          <w:rFonts w:hint="eastAsia" w:ascii="仿宋" w:hAnsi="仿宋" w:eastAsia="仿宋" w:cs="仿宋"/>
          <w:color w:val="auto"/>
          <w:sz w:val="24"/>
          <w:szCs w:val="24"/>
        </w:rPr>
        <w:t>3、合同总价一次性包死，不受市场价格变化因素的影响。</w:t>
      </w:r>
      <w:r>
        <w:rPr>
          <w:rFonts w:hint="eastAsia" w:ascii="仿宋" w:hAnsi="仿宋" w:eastAsia="仿宋" w:cs="仿宋"/>
          <w:bCs/>
          <w:color w:val="auto"/>
          <w:sz w:val="24"/>
          <w:szCs w:val="24"/>
        </w:rPr>
        <w:t>在项目实施中产生</w:t>
      </w:r>
      <w:r>
        <w:rPr>
          <w:rFonts w:hint="eastAsia" w:ascii="仿宋" w:hAnsi="仿宋" w:eastAsia="仿宋" w:cs="仿宋"/>
          <w:bCs/>
          <w:color w:val="auto"/>
          <w:sz w:val="24"/>
          <w:szCs w:val="24"/>
          <w:lang w:eastAsia="zh-CN"/>
        </w:rPr>
        <w:t>的其他费用</w:t>
      </w:r>
      <w:r>
        <w:rPr>
          <w:rFonts w:hint="eastAsia" w:ascii="仿宋" w:hAnsi="仿宋" w:eastAsia="仿宋" w:cs="仿宋"/>
          <w:bCs/>
          <w:color w:val="auto"/>
          <w:sz w:val="24"/>
          <w:szCs w:val="24"/>
        </w:rPr>
        <w:t>，均由</w:t>
      </w:r>
      <w:r>
        <w:rPr>
          <w:rFonts w:hint="eastAsia" w:ascii="仿宋" w:hAnsi="仿宋" w:eastAsia="仿宋" w:cs="仿宋"/>
          <w:color w:val="auto"/>
          <w:sz w:val="24"/>
          <w:szCs w:val="24"/>
        </w:rPr>
        <w:t>乙方</w:t>
      </w:r>
      <w:r>
        <w:rPr>
          <w:rFonts w:hint="eastAsia" w:ascii="仿宋" w:hAnsi="仿宋" w:eastAsia="仿宋" w:cs="仿宋"/>
          <w:bCs/>
          <w:color w:val="auto"/>
          <w:sz w:val="24"/>
          <w:szCs w:val="24"/>
        </w:rPr>
        <w:t>免费提供，甲方不再支付任何费用。</w:t>
      </w:r>
    </w:p>
    <w:p w14:paraId="017C56FC">
      <w:pPr>
        <w:spacing w:line="560" w:lineRule="exact"/>
        <w:ind w:firstLine="452" w:firstLineChars="200"/>
        <w:rPr>
          <w:rFonts w:hint="eastAsia" w:ascii="仿宋" w:hAnsi="仿宋" w:eastAsia="仿宋" w:cs="仿宋"/>
          <w:color w:val="auto"/>
          <w:spacing w:val="-7"/>
          <w:sz w:val="24"/>
          <w:szCs w:val="24"/>
        </w:rPr>
      </w:pPr>
      <w:r>
        <w:rPr>
          <w:rFonts w:hint="eastAsia" w:ascii="仿宋" w:hAnsi="仿宋" w:eastAsia="仿宋" w:cs="仿宋"/>
          <w:color w:val="auto"/>
          <w:spacing w:val="-7"/>
          <w:sz w:val="24"/>
          <w:szCs w:val="24"/>
        </w:rPr>
        <w:t>4、关于所采购货物本身随同配备的备品备件及</w:t>
      </w:r>
      <w:r>
        <w:rPr>
          <w:rFonts w:hint="eastAsia" w:ascii="仿宋" w:hAnsi="仿宋" w:eastAsia="仿宋" w:cs="仿宋"/>
          <w:color w:val="auto"/>
          <w:spacing w:val="-7"/>
          <w:sz w:val="24"/>
          <w:szCs w:val="24"/>
          <w:lang w:eastAsia="zh-CN"/>
        </w:rPr>
        <w:t>产品</w:t>
      </w:r>
      <w:r>
        <w:rPr>
          <w:rFonts w:hint="eastAsia" w:ascii="仿宋" w:hAnsi="仿宋" w:eastAsia="仿宋" w:cs="仿宋"/>
          <w:color w:val="auto"/>
          <w:spacing w:val="-7"/>
          <w:sz w:val="24"/>
          <w:szCs w:val="24"/>
        </w:rPr>
        <w:t>的价格已包含于合同总价，不再额外收取费用。</w:t>
      </w:r>
    </w:p>
    <w:p w14:paraId="37EF010E">
      <w:pPr>
        <w:spacing w:line="560" w:lineRule="exact"/>
        <w:ind w:left="42" w:leftChars="20" w:firstLine="452" w:firstLineChars="200"/>
        <w:rPr>
          <w:rFonts w:hint="eastAsia" w:ascii="仿宋" w:hAnsi="仿宋" w:eastAsia="仿宋" w:cs="仿宋"/>
          <w:color w:val="auto"/>
          <w:sz w:val="24"/>
          <w:szCs w:val="24"/>
        </w:rPr>
      </w:pPr>
      <w:r>
        <w:rPr>
          <w:rFonts w:hint="eastAsia" w:ascii="仿宋" w:hAnsi="仿宋" w:eastAsia="仿宋" w:cs="仿宋"/>
          <w:color w:val="auto"/>
          <w:spacing w:val="-7"/>
          <w:sz w:val="24"/>
          <w:szCs w:val="24"/>
        </w:rPr>
        <w:t>5、乙方需保证所能够提供使用的备品备件属于经过合法授权的，确保备品备件产权归乙方所有。</w:t>
      </w:r>
    </w:p>
    <w:p w14:paraId="7FCB0B9B">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三、款项结算</w:t>
      </w:r>
    </w:p>
    <w:p w14:paraId="222AD205">
      <w:pPr>
        <w:keepNext w:val="0"/>
        <w:keepLines w:val="0"/>
        <w:pageBreakBefore w:val="0"/>
        <w:widowControl w:val="0"/>
        <w:tabs>
          <w:tab w:val="left" w:pos="840"/>
        </w:tabs>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结算方式：按数量据实结算。</w:t>
      </w:r>
    </w:p>
    <w:p w14:paraId="51D2BCEB">
      <w:pPr>
        <w:keepNext w:val="0"/>
        <w:keepLines w:val="0"/>
        <w:pageBreakBefore w:val="0"/>
        <w:widowControl w:val="0"/>
        <w:tabs>
          <w:tab w:val="left" w:pos="840"/>
        </w:tabs>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付款方式：</w:t>
      </w:r>
      <w:r>
        <w:rPr>
          <w:rFonts w:hint="eastAsia" w:ascii="仿宋" w:hAnsi="仿宋" w:eastAsia="仿宋" w:cs="仿宋"/>
          <w:color w:val="auto"/>
          <w:sz w:val="24"/>
          <w:szCs w:val="24"/>
        </w:rPr>
        <w:t>自</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验收（安装）合格之日起</w:t>
      </w:r>
      <w:r>
        <w:rPr>
          <w:rFonts w:hint="eastAsia" w:ascii="仿宋" w:hAnsi="仿宋" w:eastAsia="仿宋" w:cs="仿宋"/>
          <w:color w:val="auto"/>
          <w:sz w:val="24"/>
          <w:szCs w:val="24"/>
          <w:lang w:eastAsia="zh-CN"/>
        </w:rPr>
        <w:t>一次性付清。</w:t>
      </w:r>
    </w:p>
    <w:p w14:paraId="71B75F12">
      <w:pPr>
        <w:tabs>
          <w:tab w:val="left" w:pos="840"/>
        </w:tabs>
        <w:kinsoku w:val="0"/>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0000FF"/>
          <w:sz w:val="24"/>
          <w:szCs w:val="24"/>
          <w:lang w:val="en-US" w:eastAsia="zh-CN"/>
        </w:rPr>
        <w:t>注：鉴于甲方使用的是财政资金，甲方在上述约定的时间内办理财政集中支付手续的（不含政府财政支付部门审查时间和支付时间），即视为甲方已按期支付。由于财政拨款不到位、乙方未及时提供合格有效的等额发票或不可抗力原因导致乙方收款延迟的，甲方不承担违约责任，并且此情况不能成为乙方中止或拒绝履行本合同义务或向甲方索赔及主张违约金的理由</w:t>
      </w:r>
      <w:r>
        <w:rPr>
          <w:rFonts w:hint="eastAsia" w:ascii="仿宋" w:hAnsi="仿宋" w:eastAsia="仿宋" w:cs="仿宋"/>
          <w:color w:val="0000FF"/>
          <w:sz w:val="24"/>
          <w:szCs w:val="24"/>
        </w:rPr>
        <w:t>。</w:t>
      </w:r>
    </w:p>
    <w:p w14:paraId="3D2588A9">
      <w:pPr>
        <w:tabs>
          <w:tab w:val="left" w:pos="840"/>
        </w:tabs>
        <w:kinsoku w:val="0"/>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甲方付款前</w:t>
      </w:r>
      <w:r>
        <w:rPr>
          <w:rFonts w:hint="eastAsia" w:ascii="仿宋" w:hAnsi="仿宋" w:eastAsia="仿宋" w:cs="仿宋"/>
          <w:color w:val="auto"/>
          <w:sz w:val="24"/>
          <w:szCs w:val="24"/>
        </w:rPr>
        <w:t>乙方必须开具全额增值税发票给甲方，未按照甲方要求开具发票，甲方可顺延付款时间不承担违约责任，由此造成的损失由乙方承担。</w:t>
      </w:r>
    </w:p>
    <w:p w14:paraId="40A83F47">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四、双方的权利和义务</w:t>
      </w:r>
    </w:p>
    <w:p w14:paraId="72F89611">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1、甲方责任</w:t>
      </w:r>
    </w:p>
    <w:p w14:paraId="0939C320">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020ADB3C">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2、乙方责任</w:t>
      </w:r>
    </w:p>
    <w:p w14:paraId="28BDEC42">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按时完成产品运行环境的检查；产品的交接；按时完成本合同所涉及产品的安装调试、验收工作；做好整个项目的售后服务技术支持工作。</w:t>
      </w:r>
    </w:p>
    <w:p w14:paraId="503F153D">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五、交货条件：</w:t>
      </w:r>
    </w:p>
    <w:p w14:paraId="6E253A66">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1、交货地点</w:t>
      </w:r>
      <w:r>
        <w:rPr>
          <w:rFonts w:hint="eastAsia" w:ascii="仿宋" w:hAnsi="仿宋" w:eastAsia="仿宋" w:cs="仿宋"/>
          <w:color w:val="auto"/>
          <w:sz w:val="24"/>
          <w:szCs w:val="24"/>
          <w:lang w:eastAsia="zh-CN"/>
        </w:rPr>
        <w:t>：甲方指定地点</w:t>
      </w:r>
      <w:r>
        <w:rPr>
          <w:rFonts w:hint="eastAsia" w:ascii="仿宋" w:hAnsi="仿宋" w:eastAsia="仿宋" w:cs="仿宋"/>
          <w:color w:val="auto"/>
          <w:sz w:val="24"/>
          <w:szCs w:val="24"/>
        </w:rPr>
        <w:t xml:space="preserve">。  </w:t>
      </w:r>
    </w:p>
    <w:p w14:paraId="52E0FA09">
      <w:pPr>
        <w:spacing w:line="560" w:lineRule="exact"/>
        <w:ind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（1）乙方必须派人送货清点、移交、培训。不受理任何物流、邮寄供货业务。</w:t>
      </w:r>
    </w:p>
    <w:p w14:paraId="53C33B6A">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   （2）本合同所有产品单件必须标明厂商、商标、型号、生产时间并附有效期内的检测报告并盖章。</w:t>
      </w:r>
    </w:p>
    <w:p w14:paraId="43F3F7B7">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2、交货期：合同签订后，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内送至甲方指定地点交货。</w:t>
      </w:r>
    </w:p>
    <w:p w14:paraId="5C460C88">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六、运输</w:t>
      </w:r>
    </w:p>
    <w:p w14:paraId="631BA863">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1、运输由乙方负责，运杂费已包含在合同总价内，包括从产品供应地点所含的运输费、装卸费、仓储费、保险费等。</w:t>
      </w:r>
    </w:p>
    <w:p w14:paraId="11BFE82E">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2、乙方保证产品安全、按期运输到达甲方指定交货地点，在到达甲方地点并经甲方验收（安装）合格前发生的不可预见的风险均由乙方承担。</w:t>
      </w:r>
    </w:p>
    <w:p w14:paraId="26DD79DB">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七、乙方质量保证</w:t>
      </w:r>
    </w:p>
    <w:p w14:paraId="05E3AF50">
      <w:pPr>
        <w:spacing w:line="560" w:lineRule="exact"/>
        <w:ind w:firstLine="480" w:firstLineChars="20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1、保修期（质保期）：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年，乙方按照</w:t>
      </w:r>
      <w:r>
        <w:rPr>
          <w:rFonts w:hint="eastAsia" w:ascii="仿宋" w:hAnsi="仿宋" w:eastAsia="仿宋" w:cs="仿宋"/>
          <w:color w:val="auto"/>
          <w:sz w:val="24"/>
          <w:szCs w:val="24"/>
          <w:lang w:eastAsia="zh-CN"/>
        </w:rPr>
        <w:t>竞争性磋商</w:t>
      </w:r>
      <w:r>
        <w:rPr>
          <w:rFonts w:hint="eastAsia" w:ascii="仿宋" w:hAnsi="仿宋" w:eastAsia="仿宋" w:cs="仿宋"/>
          <w:color w:val="auto"/>
          <w:sz w:val="24"/>
          <w:szCs w:val="24"/>
        </w:rPr>
        <w:t>文件中技术参数中的要求执行，自产品经甲方验收合格后之次日算起，确因质量问题不能使用的，应当免费换新。</w:t>
      </w:r>
    </w:p>
    <w:p w14:paraId="2E0BEC12">
      <w:pPr>
        <w:spacing w:line="560" w:lineRule="exact"/>
        <w:ind w:firstLine="48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2、提供每周7*24小时的技术咨询服务。乙方接到甲方维修要求后，应保证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小时内给予明确答复，并在</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2</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小时内解决甲方提出的维修要求。</w:t>
      </w:r>
    </w:p>
    <w:p w14:paraId="5D22D3A8">
      <w:pPr>
        <w:spacing w:line="560" w:lineRule="exact"/>
        <w:jc w:val="left"/>
        <w:textAlignment w:val="top"/>
        <w:rPr>
          <w:rFonts w:hint="eastAsia" w:ascii="仿宋" w:hAnsi="仿宋" w:eastAsia="仿宋" w:cs="仿宋"/>
          <w:b/>
          <w:color w:val="auto"/>
          <w:sz w:val="24"/>
          <w:szCs w:val="24"/>
        </w:rPr>
      </w:pPr>
      <w:r>
        <w:rPr>
          <w:rFonts w:hint="eastAsia" w:ascii="仿宋" w:hAnsi="仿宋" w:eastAsia="仿宋" w:cs="仿宋"/>
          <w:color w:val="auto"/>
          <w:sz w:val="24"/>
          <w:szCs w:val="24"/>
        </w:rPr>
        <w:t xml:space="preserve">    3、保修期（质保期），</w:t>
      </w:r>
      <w:r>
        <w:rPr>
          <w:rFonts w:hint="eastAsia" w:ascii="仿宋" w:hAnsi="仿宋" w:eastAsia="仿宋" w:cs="仿宋"/>
          <w:color w:val="auto"/>
          <w:sz w:val="24"/>
          <w:szCs w:val="24"/>
          <w:lang w:eastAsia="zh-CN"/>
        </w:rPr>
        <w:t>保修期内</w:t>
      </w:r>
      <w:r>
        <w:rPr>
          <w:rFonts w:hint="eastAsia" w:ascii="仿宋" w:hAnsi="仿宋" w:eastAsia="仿宋" w:cs="仿宋"/>
          <w:color w:val="auto"/>
          <w:sz w:val="24"/>
          <w:szCs w:val="24"/>
        </w:rPr>
        <w:t>免费维修。保修期（质保期）外优惠供应配件，只收工本费。在保修期（质保期）内，如有制造质量问题或技术缺陷造成</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故障或损坏，乙方在</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4</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小时内无法修复或需要返厂进行维修的，乙方必须予以免费整体更换相应</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，以保证甲方最终用户单位工作正常开展；在甲方最终用户单位使用的前三个月，同一</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出现第二次质量问题，乙方必须在甲方指定期限内予以免费整体更换该</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w:t>
      </w:r>
    </w:p>
    <w:p w14:paraId="7157D205">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八、乙方售后服务</w:t>
      </w:r>
    </w:p>
    <w:p w14:paraId="4077A0A9">
      <w:pPr>
        <w:spacing w:line="560" w:lineRule="exact"/>
        <w:ind w:firstLine="480" w:firstLineChars="20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1.培训：为甲方提供涉及产品的使用范围、主要性能、技术指标、使用方法、注意事项和维护保养、贮存方法等方面的培训，并由乙方专业人员向客户提供技术支持。</w:t>
      </w:r>
    </w:p>
    <w:p w14:paraId="7EE2C269">
      <w:pPr>
        <w:spacing w:line="560" w:lineRule="exact"/>
        <w:ind w:firstLine="480" w:firstLineChars="20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2. 售后服务工作程序</w:t>
      </w:r>
    </w:p>
    <w:p w14:paraId="645C4608">
      <w:pPr>
        <w:spacing w:line="560" w:lineRule="exact"/>
        <w:ind w:firstLine="480" w:firstLineChars="200"/>
        <w:jc w:val="left"/>
        <w:textAlignment w:val="top"/>
        <w:rPr>
          <w:rFonts w:hint="eastAsia" w:ascii="仿宋" w:hAnsi="仿宋" w:eastAsia="仿宋" w:cs="仿宋"/>
          <w:color w:val="auto"/>
          <w:sz w:val="24"/>
          <w:szCs w:val="24"/>
          <w:u w:val="single"/>
        </w:rPr>
      </w:pPr>
      <w:r>
        <w:rPr>
          <w:rFonts w:hint="eastAsia" w:ascii="仿宋" w:hAnsi="仿宋" w:eastAsia="仿宋" w:cs="仿宋"/>
          <w:color w:val="auto"/>
          <w:sz w:val="24"/>
          <w:szCs w:val="24"/>
        </w:rPr>
        <w:t>售后服务电话：</w:t>
      </w:r>
      <w:r>
        <w:rPr>
          <w:rFonts w:hint="eastAsia" w:ascii="仿宋" w:hAnsi="仿宋" w:eastAsia="仿宋" w:cs="仿宋"/>
          <w:color w:val="auto"/>
          <w:sz w:val="24"/>
          <w:szCs w:val="24"/>
          <w:u w:val="single"/>
        </w:rPr>
        <w:t xml:space="preserve">           </w:t>
      </w:r>
    </w:p>
    <w:p w14:paraId="6BE86BF1">
      <w:pPr>
        <w:spacing w:line="560" w:lineRule="exact"/>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在接到电话</w:t>
      </w:r>
      <w:r>
        <w:rPr>
          <w:rFonts w:hint="eastAsia" w:ascii="仿宋" w:hAnsi="仿宋" w:eastAsia="仿宋" w:cs="仿宋"/>
          <w:color w:val="auto"/>
          <w:sz w:val="24"/>
          <w:szCs w:val="24"/>
          <w:u w:val="single"/>
          <w:lang w:val="en-US" w:eastAsia="zh-CN"/>
        </w:rPr>
        <w:t>2</w:t>
      </w:r>
      <w:r>
        <w:rPr>
          <w:rFonts w:hint="eastAsia" w:ascii="仿宋" w:hAnsi="仿宋" w:eastAsia="仿宋" w:cs="仿宋"/>
          <w:color w:val="auto"/>
          <w:sz w:val="24"/>
          <w:szCs w:val="24"/>
        </w:rPr>
        <w:t>小时内赶到甲方位置，对故障</w:t>
      </w:r>
      <w:r>
        <w:rPr>
          <w:rFonts w:hint="eastAsia" w:ascii="仿宋" w:hAnsi="仿宋" w:eastAsia="仿宋" w:cs="仿宋"/>
          <w:color w:val="auto"/>
          <w:sz w:val="24"/>
          <w:szCs w:val="24"/>
          <w:lang w:eastAsia="zh-CN"/>
        </w:rPr>
        <w:t>原因</w:t>
      </w:r>
      <w:r>
        <w:rPr>
          <w:rFonts w:hint="eastAsia" w:ascii="仿宋" w:hAnsi="仿宋" w:eastAsia="仿宋" w:cs="仿宋"/>
          <w:color w:val="auto"/>
          <w:sz w:val="24"/>
          <w:szCs w:val="24"/>
        </w:rPr>
        <w:t>予以解决。</w:t>
      </w:r>
    </w:p>
    <w:p w14:paraId="6EADCDAC">
      <w:pPr>
        <w:spacing w:line="560" w:lineRule="exact"/>
        <w:ind w:firstLine="480" w:firstLineChars="20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3. 保修期（质保期）内主要提供定期的客户查询，询问</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的使用情况、完好情况。一般每1－2个月一次。确有质量问题的，按第七条3款进行服务，服务免费。</w:t>
      </w:r>
    </w:p>
    <w:p w14:paraId="21022758">
      <w:pPr>
        <w:spacing w:line="560" w:lineRule="exact"/>
        <w:ind w:firstLine="480" w:firstLineChars="200"/>
        <w:jc w:val="left"/>
        <w:textAlignment w:val="top"/>
        <w:rPr>
          <w:rFonts w:hint="eastAsia" w:ascii="仿宋" w:hAnsi="仿宋" w:eastAsia="仿宋" w:cs="仿宋"/>
          <w:color w:val="auto"/>
          <w:sz w:val="24"/>
          <w:szCs w:val="24"/>
        </w:rPr>
      </w:pPr>
      <w:r>
        <w:rPr>
          <w:rFonts w:hint="eastAsia" w:ascii="仿宋" w:hAnsi="仿宋" w:eastAsia="仿宋" w:cs="仿宋"/>
          <w:color w:val="auto"/>
          <w:sz w:val="24"/>
          <w:szCs w:val="24"/>
        </w:rPr>
        <w:t>4. 保修期（质保期）外乙方应继续安排销售人员对甲方进行走访，维修只收工本费。</w:t>
      </w:r>
    </w:p>
    <w:p w14:paraId="60AEC00C">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5.乙方未能按照</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rPr>
        <w:t>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14:paraId="47ECA2C2">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九、乙方提供技术与服务</w:t>
      </w:r>
    </w:p>
    <w:p w14:paraId="015B9BE4">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1、随同货物提供相应的中文技术文件（包括产品合格证、使用说明、维护手册、服务指南等资料）；</w:t>
      </w:r>
    </w:p>
    <w:p w14:paraId="5E704370">
      <w:pPr>
        <w:spacing w:line="56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rPr>
        <w:t xml:space="preserve">2、现场安装、调试技术保障服务； </w:t>
      </w:r>
    </w:p>
    <w:p w14:paraId="09DBE476">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十、违约责任</w:t>
      </w:r>
    </w:p>
    <w:p w14:paraId="44FE991F">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1、按《中华人民共和国民法典》中的相关条款执行。</w:t>
      </w:r>
    </w:p>
    <w:p w14:paraId="62A073B6">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2、乙方未能按期履行合同或乙方未按合同要求提供</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或</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质量不能满足甲方要求，甲方有权单方面解除合同，乙方除应返还甲方已支付的款项外，还应承担本合同总金额20%的违约金，违约金不足以弥补损失的，乙方应予补足；</w:t>
      </w:r>
    </w:p>
    <w:p w14:paraId="1E450D79">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交货期每逾期一天，乙方应向甲方支付合同总价款的5‰违约金。逾期超过15日的，甲方有权单方面解除本合同，乙方除退还甲方已支付全部费用外还应按照合同总价的20%向甲方支付违约金。违约金不足以弥补损失的，乙方应予以补足。</w:t>
      </w:r>
    </w:p>
    <w:p w14:paraId="5F984F2F">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十一、验收</w:t>
      </w:r>
    </w:p>
    <w:p w14:paraId="5DABF38B">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1、产品到达甲方指定地点后，甲方根据合同约定，对产品进行外观验收、确认产品的产地、规格、型号和数量。。</w:t>
      </w:r>
    </w:p>
    <w:p w14:paraId="07853418">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2、产品安装、调试并正常运行后，由乙方进行自检合格后，准备验收文件，并书面通知甲方；</w:t>
      </w:r>
    </w:p>
    <w:p w14:paraId="7BBBDB9D">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3、甲方确认乙方的自检内容后进行系统验收，填写项目验收单，作为对</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的最终认可；</w:t>
      </w:r>
    </w:p>
    <w:p w14:paraId="2FD3E2E2">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4、乙方向甲方提交</w:t>
      </w:r>
      <w:r>
        <w:rPr>
          <w:rFonts w:hint="eastAsia" w:ascii="仿宋" w:hAnsi="仿宋" w:eastAsia="仿宋" w:cs="仿宋"/>
          <w:color w:val="auto"/>
          <w:sz w:val="24"/>
          <w:szCs w:val="24"/>
          <w:lang w:eastAsia="zh-CN"/>
        </w:rPr>
        <w:t>产品</w:t>
      </w:r>
      <w:r>
        <w:rPr>
          <w:rFonts w:hint="eastAsia" w:ascii="仿宋" w:hAnsi="仿宋" w:eastAsia="仿宋" w:cs="仿宋"/>
          <w:color w:val="auto"/>
          <w:sz w:val="24"/>
          <w:szCs w:val="24"/>
        </w:rPr>
        <w:t>实施过程中的所有资料，以便甲方日后管理和维护。</w:t>
      </w:r>
    </w:p>
    <w:p w14:paraId="5328EBF3">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5、验收依据：</w:t>
      </w:r>
    </w:p>
    <w:p w14:paraId="161E4E07">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5-1</w:t>
      </w:r>
      <w:r>
        <w:rPr>
          <w:rFonts w:hint="eastAsia" w:ascii="仿宋" w:hAnsi="仿宋" w:eastAsia="仿宋" w:cs="仿宋"/>
          <w:color w:val="auto"/>
          <w:sz w:val="24"/>
          <w:szCs w:val="24"/>
          <w:lang w:eastAsia="zh-CN"/>
        </w:rPr>
        <w:t>竞争性磋商文件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竞争性磋商响应文件</w:t>
      </w:r>
      <w:r>
        <w:rPr>
          <w:rFonts w:hint="eastAsia" w:ascii="仿宋" w:hAnsi="仿宋" w:eastAsia="仿宋" w:cs="仿宋"/>
          <w:color w:val="auto"/>
          <w:sz w:val="24"/>
          <w:szCs w:val="24"/>
        </w:rPr>
        <w:t>、澄清表（函）；</w:t>
      </w:r>
    </w:p>
    <w:p w14:paraId="0D45E113">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5-2本合同及附件文本；</w:t>
      </w:r>
    </w:p>
    <w:p w14:paraId="34AB4A01">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十二、技术成果</w:t>
      </w:r>
    </w:p>
    <w:p w14:paraId="63E33050">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因本项目采购形成的技术成果归甲方所有。</w:t>
      </w:r>
    </w:p>
    <w:p w14:paraId="35ACDD19">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十三、知识产权及专利权 </w:t>
      </w:r>
    </w:p>
    <w:p w14:paraId="509BA341">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应当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14:paraId="3CE40DD1">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十四、保密责任</w:t>
      </w:r>
    </w:p>
    <w:p w14:paraId="05ACF760">
      <w:pPr>
        <w:tabs>
          <w:tab w:val="left" w:pos="480"/>
        </w:tabs>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双方均应遵守《中华人民共和国保守国家秘密法》</w:t>
      </w:r>
      <w:r>
        <w:rPr>
          <w:rFonts w:hint="eastAsia" w:ascii="仿宋" w:hAnsi="仿宋" w:eastAsia="仿宋" w:cs="仿宋"/>
          <w:color w:val="auto"/>
          <w:sz w:val="24"/>
          <w:szCs w:val="24"/>
          <w:lang w:eastAsia="zh-CN"/>
        </w:rPr>
        <w:t>和其他</w:t>
      </w:r>
      <w:r>
        <w:rPr>
          <w:rFonts w:hint="eastAsia" w:ascii="仿宋" w:hAnsi="仿宋" w:eastAsia="仿宋" w:cs="仿宋"/>
          <w:color w:val="auto"/>
          <w:sz w:val="24"/>
          <w:szCs w:val="24"/>
        </w:rPr>
        <w:t>相关规定，妥善保管对方提供的资料，保守对方的各项秘密，保护对方的知识产权；未经对方许可，不得利用知悉的对方资料和成果为自己或第三方谋取利益。</w:t>
      </w:r>
    </w:p>
    <w:p w14:paraId="76378925">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十五、通知与送达</w:t>
      </w:r>
    </w:p>
    <w:p w14:paraId="7B40B23F">
      <w:pPr>
        <w:tabs>
          <w:tab w:val="left" w:pos="480"/>
        </w:tabs>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1、甲乙双方应当在3天内将与合同有关的通知、批准、证明、证书、指示、指令、要求、请求、同意、意见、确定和决定等书面函件送达对方当事人。</w:t>
      </w:r>
    </w:p>
    <w:p w14:paraId="6C89A095">
      <w:pPr>
        <w:tabs>
          <w:tab w:val="left" w:pos="480"/>
        </w:tabs>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486EE6CD">
      <w:pPr>
        <w:tabs>
          <w:tab w:val="left" w:pos="480"/>
        </w:tabs>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3、甲乙双方应当及时签收另一方送达至送达地点和指定接收人的来往信函。拒不签收的，由此增加的费用和（或）延误的交货期由拒绝接收一方承担。</w:t>
      </w:r>
    </w:p>
    <w:p w14:paraId="05C92CD1">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十六、合同争议解决的方式</w:t>
      </w:r>
    </w:p>
    <w:p w14:paraId="0A3BCD15">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本合同在履行过程中发生的争议，由甲、乙方当事人协商解决；也可由当地工商行政管理部门调解；协商或调解不成的按以下第2种方式解决；</w:t>
      </w:r>
    </w:p>
    <w:p w14:paraId="30B70209">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1、提交</w:t>
      </w:r>
      <w:r>
        <w:rPr>
          <w:rFonts w:hint="eastAsia" w:ascii="仿宋" w:hAnsi="仿宋" w:eastAsia="仿宋" w:cs="仿宋"/>
          <w:color w:val="auto"/>
          <w:sz w:val="24"/>
          <w:szCs w:val="24"/>
          <w:lang w:eastAsia="zh-CN"/>
        </w:rPr>
        <w:t>铜川</w:t>
      </w:r>
      <w:bookmarkStart w:id="0" w:name="_GoBack"/>
      <w:bookmarkEnd w:id="0"/>
      <w:r>
        <w:rPr>
          <w:rFonts w:hint="eastAsia" w:ascii="仿宋" w:hAnsi="仿宋" w:eastAsia="仿宋" w:cs="仿宋"/>
          <w:color w:val="auto"/>
          <w:sz w:val="24"/>
          <w:szCs w:val="24"/>
        </w:rPr>
        <w:t>仲裁委员会仲裁；</w:t>
      </w:r>
    </w:p>
    <w:p w14:paraId="40AE6F56">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2、依法向甲方所在地人民法院起诉。</w:t>
      </w:r>
    </w:p>
    <w:p w14:paraId="0AA8F859">
      <w:pPr>
        <w:spacing w:line="56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十七、其他事项</w:t>
      </w:r>
    </w:p>
    <w:p w14:paraId="5309B58B">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竞争性磋商文件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竞争性磋商响应文件</w:t>
      </w:r>
      <w:r>
        <w:rPr>
          <w:rFonts w:hint="eastAsia" w:ascii="仿宋" w:hAnsi="仿宋" w:eastAsia="仿宋" w:cs="仿宋"/>
          <w:color w:val="auto"/>
          <w:sz w:val="24"/>
          <w:szCs w:val="24"/>
        </w:rPr>
        <w:t>、澄清表（函）、合同附件均成为合同不可分割的部分。</w:t>
      </w:r>
    </w:p>
    <w:p w14:paraId="6EB50F08">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2、合同未尽事宜，由甲、乙双方协商，另行签订补充合同，为本合同有效组成部分。</w:t>
      </w:r>
    </w:p>
    <w:p w14:paraId="5136CBE8">
      <w:pPr>
        <w:spacing w:line="5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本合同一式肆份，甲方、乙方各执贰份。各方签字盖章后生效，合同执行完毕自动终止。（合同的服务承诺则长期有效）。</w:t>
      </w:r>
    </w:p>
    <w:p w14:paraId="556A7930">
      <w:pPr>
        <w:spacing w:line="560" w:lineRule="exact"/>
        <w:ind w:left="6522" w:leftChars="20" w:hanging="6480" w:hangingChars="2700"/>
        <w:rPr>
          <w:rFonts w:hint="eastAsia" w:ascii="仿宋" w:hAnsi="仿宋" w:eastAsia="仿宋" w:cs="仿宋"/>
          <w:color w:val="auto"/>
          <w:sz w:val="24"/>
          <w:szCs w:val="24"/>
        </w:rPr>
      </w:pPr>
    </w:p>
    <w:p w14:paraId="0F65435C">
      <w:pPr>
        <w:spacing w:line="560" w:lineRule="exact"/>
        <w:ind w:left="6522" w:leftChars="20" w:hanging="6480" w:hangingChars="2700"/>
        <w:rPr>
          <w:rFonts w:hint="eastAsia" w:ascii="仿宋" w:hAnsi="仿宋" w:eastAsia="仿宋" w:cs="仿宋"/>
          <w:color w:val="auto"/>
          <w:sz w:val="24"/>
          <w:szCs w:val="24"/>
        </w:rPr>
      </w:pPr>
      <w:r>
        <w:rPr>
          <w:rFonts w:hint="eastAsia" w:ascii="仿宋" w:hAnsi="仿宋" w:eastAsia="仿宋" w:cs="仿宋"/>
          <w:color w:val="auto"/>
          <w:sz w:val="24"/>
          <w:szCs w:val="24"/>
        </w:rPr>
        <w:t xml:space="preserve">甲      方：                         乙      方：                     </w:t>
      </w:r>
    </w:p>
    <w:p w14:paraId="0CE1DDC4">
      <w:pPr>
        <w:spacing w:line="560" w:lineRule="exact"/>
        <w:ind w:left="5941" w:leftChars="29" w:hanging="5880" w:hangingChars="2450"/>
        <w:rPr>
          <w:rFonts w:hint="eastAsia" w:ascii="仿宋" w:hAnsi="仿宋" w:eastAsia="仿宋" w:cs="仿宋"/>
          <w:color w:val="auto"/>
          <w:sz w:val="24"/>
          <w:szCs w:val="24"/>
        </w:rPr>
      </w:pPr>
      <w:r>
        <w:rPr>
          <w:rFonts w:hint="eastAsia" w:ascii="仿宋" w:hAnsi="仿宋" w:eastAsia="仿宋" w:cs="仿宋"/>
          <w:color w:val="auto"/>
          <w:sz w:val="24"/>
          <w:szCs w:val="24"/>
        </w:rPr>
        <w:t xml:space="preserve">地      址：                         地      址：                      </w:t>
      </w:r>
    </w:p>
    <w:p w14:paraId="2E61E54C">
      <w:pPr>
        <w:spacing w:line="560" w:lineRule="exact"/>
        <w:ind w:left="5941" w:leftChars="29" w:hanging="5880" w:hangingChars="2450"/>
        <w:rPr>
          <w:rFonts w:hint="eastAsia" w:ascii="仿宋" w:hAnsi="仿宋" w:eastAsia="仿宋" w:cs="仿宋"/>
          <w:color w:val="auto"/>
          <w:sz w:val="24"/>
          <w:szCs w:val="24"/>
        </w:rPr>
      </w:pPr>
      <w:r>
        <w:rPr>
          <w:rFonts w:hint="eastAsia" w:ascii="仿宋" w:hAnsi="仿宋" w:eastAsia="仿宋" w:cs="仿宋"/>
          <w:color w:val="auto"/>
          <w:sz w:val="24"/>
          <w:szCs w:val="24"/>
        </w:rPr>
        <w:t>法定代表人：                         法定代表人：</w:t>
      </w:r>
    </w:p>
    <w:p w14:paraId="37133028">
      <w:pPr>
        <w:spacing w:line="560" w:lineRule="exact"/>
        <w:ind w:left="5941" w:leftChars="29" w:hanging="5880" w:hangingChars="2450"/>
        <w:rPr>
          <w:rFonts w:hint="eastAsia" w:ascii="仿宋" w:hAnsi="仿宋" w:eastAsia="仿宋" w:cs="仿宋"/>
          <w:color w:val="auto"/>
          <w:sz w:val="24"/>
          <w:szCs w:val="24"/>
        </w:rPr>
      </w:pPr>
      <w:r>
        <w:rPr>
          <w:rFonts w:hint="eastAsia" w:ascii="仿宋" w:hAnsi="仿宋" w:eastAsia="仿宋" w:cs="仿宋"/>
          <w:color w:val="auto"/>
          <w:sz w:val="24"/>
          <w:szCs w:val="24"/>
        </w:rPr>
        <w:t>委托代理人：                         委托代理人：</w:t>
      </w:r>
    </w:p>
    <w:p w14:paraId="66FC0A5B">
      <w:pPr>
        <w:spacing w:line="560" w:lineRule="exact"/>
        <w:ind w:left="5941" w:leftChars="29" w:hanging="5880" w:hangingChars="2450"/>
        <w:rPr>
          <w:rFonts w:hint="eastAsia" w:ascii="仿宋" w:hAnsi="仿宋" w:eastAsia="仿宋" w:cs="仿宋"/>
          <w:color w:val="auto"/>
          <w:sz w:val="24"/>
          <w:szCs w:val="24"/>
        </w:rPr>
      </w:pPr>
      <w:r>
        <w:rPr>
          <w:rFonts w:hint="eastAsia" w:ascii="仿宋" w:hAnsi="仿宋" w:eastAsia="仿宋" w:cs="仿宋"/>
          <w:color w:val="auto"/>
          <w:sz w:val="24"/>
          <w:szCs w:val="24"/>
        </w:rPr>
        <w:t xml:space="preserve">联 系 电 话：                        联 系 电 话：                    </w:t>
      </w:r>
    </w:p>
    <w:p w14:paraId="78AD853C">
      <w:pPr>
        <w:spacing w:line="500" w:lineRule="exact"/>
        <w:rPr>
          <w:rFonts w:hint="eastAsia" w:ascii="仿宋" w:hAnsi="仿宋" w:eastAsia="仿宋" w:cs="仿宋"/>
          <w:bCs/>
          <w:sz w:val="24"/>
          <w:szCs w:val="24"/>
          <w:highlight w:val="none"/>
          <w:lang w:bidi="ar"/>
        </w:rPr>
      </w:pPr>
      <w:r>
        <w:rPr>
          <w:rFonts w:hint="eastAsia" w:ascii="仿宋" w:hAnsi="仿宋" w:eastAsia="仿宋" w:cs="仿宋"/>
          <w:color w:val="auto"/>
          <w:sz w:val="24"/>
          <w:szCs w:val="24"/>
        </w:rPr>
        <w:t xml:space="preserve">签 订 日 期：        </w:t>
      </w:r>
      <w:r>
        <w:rPr>
          <w:rFonts w:hint="eastAsia" w:ascii="仿宋" w:hAnsi="仿宋" w:eastAsia="仿宋" w:cs="仿宋"/>
          <w:color w:val="auto"/>
          <w:spacing w:val="-10"/>
          <w:sz w:val="24"/>
          <w:szCs w:val="24"/>
        </w:rPr>
        <w:t xml:space="preserve">                   签 订 日 期：</w:t>
      </w:r>
    </w:p>
    <w:p w14:paraId="33B23FBC">
      <w:pPr>
        <w:rPr>
          <w:rFonts w:hint="eastAsia" w:ascii="仿宋" w:hAnsi="仿宋" w:eastAsia="仿宋" w:cs="仿宋"/>
          <w:sz w:val="20"/>
          <w:szCs w:val="21"/>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36E73">
    <w:pPr>
      <w:pStyle w:val="8"/>
      <w:jc w:val="center"/>
      <w:rPr>
        <w:rFonts w:eastAsia="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54440"/>
    <w:rsid w:val="000B534C"/>
    <w:rsid w:val="02AD7C71"/>
    <w:rsid w:val="0EE100AA"/>
    <w:rsid w:val="19DC6031"/>
    <w:rsid w:val="1E06634F"/>
    <w:rsid w:val="2EAC41C6"/>
    <w:rsid w:val="314F2EB1"/>
    <w:rsid w:val="39A334CC"/>
    <w:rsid w:val="3CA876F2"/>
    <w:rsid w:val="43354440"/>
    <w:rsid w:val="592467AB"/>
    <w:rsid w:val="61B054B5"/>
    <w:rsid w:val="6A0E5E7F"/>
    <w:rsid w:val="6B195A04"/>
    <w:rsid w:val="70DB0409"/>
    <w:rsid w:val="764D0F9A"/>
    <w:rsid w:val="7FBC7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6"/>
    <w:qFormat/>
    <w:uiPriority w:val="0"/>
    <w:pPr>
      <w:spacing w:before="100" w:beforeLines="100" w:beforeAutospacing="0" w:after="100" w:afterLines="100" w:afterAutospacing="0" w:line="400" w:lineRule="exact"/>
      <w:jc w:val="center"/>
      <w:outlineLvl w:val="0"/>
    </w:pPr>
    <w:rPr>
      <w:rFonts w:hint="eastAsia" w:ascii="宋体" w:hAnsi="宋体" w:eastAsia="宋体" w:cs="宋体"/>
      <w:b/>
      <w:bCs/>
      <w:kern w:val="44"/>
      <w:sz w:val="32"/>
      <w:szCs w:val="48"/>
      <w:lang w:bidi="ar"/>
    </w:rPr>
  </w:style>
  <w:style w:type="paragraph" w:styleId="4">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宋体" w:cs="Times New Roman"/>
      <w:b/>
      <w:sz w:val="28"/>
    </w:rPr>
  </w:style>
  <w:style w:type="paragraph" w:styleId="5">
    <w:name w:val="heading 3"/>
    <w:basedOn w:val="1"/>
    <w:next w:val="1"/>
    <w:unhideWhenUsed/>
    <w:qFormat/>
    <w:uiPriority w:val="0"/>
    <w:pPr>
      <w:keepNext/>
      <w:keepLines/>
      <w:spacing w:beforeLines="0" w:beforeAutospacing="0" w:afterLines="0" w:afterAutospacing="0" w:line="240" w:lineRule="auto"/>
      <w:jc w:val="left"/>
      <w:outlineLvl w:val="2"/>
    </w:pPr>
    <w:rPr>
      <w:rFonts w:ascii="Calibri" w:hAnsi="Calibri" w:eastAsia="宋体" w:cs="Times New Roman"/>
      <w:b/>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hint="eastAsia" w:ascii="宋体" w:hAnsi="宋体" w:eastAsia="仿宋" w:cs="宋体"/>
      <w:kern w:val="0"/>
      <w:sz w:val="24"/>
      <w:szCs w:val="21"/>
    </w:rPr>
  </w:style>
  <w:style w:type="paragraph" w:styleId="6">
    <w:name w:val="Body Text Indent"/>
    <w:basedOn w:val="1"/>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7">
    <w:name w:val="Block Text"/>
    <w:basedOn w:val="1"/>
    <w:qFormat/>
    <w:uiPriority w:val="0"/>
    <w:pPr>
      <w:spacing w:after="120"/>
      <w:ind w:left="1440" w:leftChars="700" w:right="1440" w:rightChars="700"/>
    </w:pPr>
    <w:rPr>
      <w:rFonts w:ascii="Calibri" w:hAnsi="Calibri" w:eastAsia="宋体" w:cs="Times New Roman"/>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2"/>
    <w:basedOn w:val="6"/>
    <w:qFormat/>
    <w:uiPriority w:val="0"/>
    <w:pPr>
      <w:ind w:left="0" w:leftChars="0" w:firstLine="420"/>
    </w:pPr>
    <w:rPr>
      <w:szCs w:val="24"/>
    </w:rPr>
  </w:style>
  <w:style w:type="character" w:styleId="15">
    <w:name w:val="Hyperlink"/>
    <w:basedOn w:val="14"/>
    <w:unhideWhenUsed/>
    <w:qFormat/>
    <w:uiPriority w:val="99"/>
    <w:rPr>
      <w:rFonts w:hint="eastAsia" w:ascii="宋体" w:hAnsi="宋体" w:eastAsia="宋体" w:cs="宋体"/>
      <w:color w:val="000000"/>
      <w:sz w:val="14"/>
      <w:szCs w:val="14"/>
      <w:u w:val="none"/>
    </w:rPr>
  </w:style>
  <w:style w:type="character" w:customStyle="1" w:styleId="16">
    <w:name w:val="标题 1 Char"/>
    <w:link w:val="3"/>
    <w:qFormat/>
    <w:uiPriority w:val="0"/>
    <w:rPr>
      <w:rFonts w:hint="eastAsia" w:ascii="宋体" w:hAnsi="宋体" w:eastAsia="宋体" w:cs="宋体"/>
      <w:b/>
      <w:bCs/>
      <w:kern w:val="44"/>
      <w:sz w:val="32"/>
      <w:szCs w:val="48"/>
      <w:lang w:val="en-US" w:eastAsia="zh-CN" w:bidi="ar"/>
    </w:rPr>
  </w:style>
  <w:style w:type="character" w:customStyle="1" w:styleId="17">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9">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8"/>
      <w:szCs w:val="28"/>
      <w:lang w:eastAsia="en-US"/>
    </w:rPr>
  </w:style>
  <w:style w:type="table" w:customStyle="1" w:styleId="2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3354</Words>
  <Characters>3378</Characters>
  <Lines>0</Lines>
  <Paragraphs>0</Paragraphs>
  <TotalTime>9</TotalTime>
  <ScaleCrop>false</ScaleCrop>
  <LinksUpToDate>false</LinksUpToDate>
  <CharactersWithSpaces>3831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2025-03-25T05:19:00Z</dcterms:created>
  <dc:creator>Lynn,</dc:creator>
  <cp:lastModifiedBy>11</cp:lastModifiedBy>
  <dcterms:modified xsi:type="dcterms:W3CDTF">2025-07-04T02:05:40Z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5821702E6F2349E4BEEA394824921A88_13</vt:lpwstr>
  </property>
  <property fmtid="{D5CDD505-2E9C-101B-9397-08002B2CF9AE}" pid="4" name="KSOTemplateDocerSaveRecord">
    <vt:lpwstr>eyJoZGlkIjoiZjZhY2FlNGJmMGE5MzJkOTcwYTBiNzNkZTYzOTU4NmUiLCJ1c2VySWQiOiI0NDE2MjE4NTYifQ==</vt:lpwstr>
  </property>
</Properties>
</file>