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版本号：YJZB-2025-070520250724001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传承创新发展示范试点孙思邈学术流派工作室及中医药数据中心数字化平台建设项目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YJZB-2025-0705</w:t>
      </w:r>
      <w:r>
        <w:br/>
      </w:r>
      <w:r>
        <w:br/>
      </w:r>
      <w:r>
        <w:br/>
      </w:r>
    </w:p>
    <w:p>
      <w:pPr>
        <w:pStyle w:val="null3"/>
        <w:jc w:val="center"/>
        <w:outlineLvl w:val="2"/>
      </w:pPr>
      <w:r>
        <w:rPr>
          <w:rFonts w:ascii="仿宋_GB2312" w:hAnsi="仿宋_GB2312" w:cs="仿宋_GB2312" w:eastAsia="仿宋_GB2312"/>
          <w:sz w:val="28"/>
          <w:b/>
        </w:rPr>
        <w:t>铜川市耀州区孙思邈中医院</w:t>
      </w:r>
    </w:p>
    <w:p>
      <w:pPr>
        <w:pStyle w:val="null3"/>
        <w:jc w:val="center"/>
        <w:outlineLvl w:val="2"/>
      </w:pPr>
      <w:r>
        <w:rPr>
          <w:rFonts w:ascii="仿宋_GB2312" w:hAnsi="仿宋_GB2312" w:cs="仿宋_GB2312" w:eastAsia="仿宋_GB2312"/>
          <w:sz w:val="28"/>
          <w:b/>
        </w:rPr>
        <w:t>陕西云界招标管理有限公司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陕西云界招标管理有限公司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铜川市耀州区孙思邈中医院</w:t>
      </w:r>
      <w:r>
        <w:rPr>
          <w:rFonts w:ascii="仿宋_GB2312" w:hAnsi="仿宋_GB2312" w:cs="仿宋_GB2312" w:eastAsia="仿宋_GB2312"/>
        </w:rPr>
        <w:t>委托，拟对</w:t>
      </w:r>
      <w:r>
        <w:rPr>
          <w:rFonts w:ascii="仿宋_GB2312" w:hAnsi="仿宋_GB2312" w:cs="仿宋_GB2312" w:eastAsia="仿宋_GB2312"/>
        </w:rPr>
        <w:t>传承创新发展示范试点孙思邈学术流派工作室及中医药数据中心数字化平台建设项目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YJZB-2025-0705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传承创新发展示范试点孙思邈学术流派工作室及中医药数据中心数字化平台建设项目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按照市、区关于中医药事业传承创新发展示范试点项目 实施方案的要求，结合我院实际及实施方案计划，为深入挖掘孙思邈学术思想内涵，推进中医药数字化转型发展，经院长办公会及支部委员委会研究决定，现需进行孙思邈学术流派工作室及中医药数据中心数字化平台建设。孙思邈学术流派工作室及中医药数据中心数字化平台建设内容为：资料室、专家工作室、学术交流室、数据存储及信息化平台建设，以及相关的水、电、暖、消防等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采购包1（铜川市耀州区孙思邈中医院传承创新发展示范试点孙思邈学术流派工作室及中医药数据中心数字化平台 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投标截止时间6个月内任意1个月的缴税证明（税种须包含增值税或企业所得税），纳税证明或完税证明上应有代收机构或税务机关的公章或业务专用章（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缴存单据或社保机构开具的社会保险参保缴费情况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w:t>
      </w:r>
    </w:p>
    <w:p>
      <w:pPr>
        <w:pStyle w:val="null3"/>
      </w:pPr>
      <w:r>
        <w:rPr>
          <w:rFonts w:ascii="仿宋_GB2312" w:hAnsi="仿宋_GB2312" w:cs="仿宋_GB2312" w:eastAsia="仿宋_GB2312"/>
        </w:rPr>
        <w:t>7、无重大违法记录书面声明：供应商应具备良好的商业信誉，提供参加政府采购活动前3年内在经营活动中没有重大违法记录的书面声明；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8、信用信息：供应商未被“信用中国” 网站（www .creditchina.gov.cn）列入失信被执行人和重大税收违法失信主体，未被中国政府采购网（www.ccgp.gov.cn）列入政府采购严重违法失信行为记录名单；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10、资质要求：供应商具备建筑工程施工总承包三级以上资质（含三级）或建筑装修装饰工程专业承包二级以上资质（含二级），具有有效的国家建设行政主管部门颁发的安全生产许可证；</w:t>
      </w:r>
    </w:p>
    <w:p>
      <w:pPr>
        <w:pStyle w:val="null3"/>
      </w:pPr>
      <w:r>
        <w:rPr>
          <w:rFonts w:ascii="仿宋_GB2312" w:hAnsi="仿宋_GB2312" w:cs="仿宋_GB2312" w:eastAsia="仿宋_GB2312"/>
        </w:rPr>
        <w:t>11、项目经理：拟派项目经理须具有建筑工程专业二级及以上注册建造师证书和有效的安全生产考核证书（B证）在本单位注册，且无在建工程（提供无在建工程承诺书）；</w:t>
      </w:r>
    </w:p>
    <w:p>
      <w:pPr>
        <w:pStyle w:val="null3"/>
      </w:pPr>
      <w:r>
        <w:rPr>
          <w:rFonts w:ascii="仿宋_GB2312" w:hAnsi="仿宋_GB2312" w:cs="仿宋_GB2312" w:eastAsia="仿宋_GB2312"/>
        </w:rPr>
        <w:t>12、本项目不接受联合体投标：提供非联合体投标声明。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铜川市耀州区孙思邈中医院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铜川市耀州区永安南路51号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陈泳伯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13509193626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陕西云界招标管理有限公司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陕西省西安市新城区长缨西路 1 号华东万和城 3 号楼 2011室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13772529819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采购包1：1,975,200.00元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号）、《国家发展和改革委员会办公厅关于招标代理服务收费有关问题的通知》（发改办价格〔2003〕857号）规定收取。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铜川市耀州区孙思邈中医院</w:t>
      </w:r>
      <w:r>
        <w:rPr>
          <w:rFonts w:ascii="仿宋_GB2312" w:hAnsi="仿宋_GB2312" w:cs="仿宋_GB2312" w:eastAsia="仿宋_GB2312"/>
        </w:rPr>
        <w:t>和</w:t>
      </w:r>
      <w:r>
        <w:rPr>
          <w:rFonts w:ascii="仿宋_GB2312" w:hAnsi="仿宋_GB2312" w:cs="仿宋_GB2312" w:eastAsia="仿宋_GB2312"/>
        </w:rPr>
        <w:t>陕西云界招标管理有限公司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铜川市耀州区孙思邈中医院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陕西云界招标管理有限公司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铜川市耀州区孙思邈中医院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陕西云界招标管理有限公司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一、符合竞争性磋商文件、合同约定、国家行业规范要求的质量标准。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联系人：段婧</w:t>
      </w:r>
    </w:p>
    <w:p>
      <w:pPr>
        <w:pStyle w:val="null3"/>
      </w:pPr>
      <w:r>
        <w:rPr>
          <w:rFonts w:ascii="仿宋_GB2312" w:hAnsi="仿宋_GB2312" w:cs="仿宋_GB2312" w:eastAsia="仿宋_GB2312"/>
        </w:rPr>
        <w:t>联系电话：13772529819</w:t>
      </w:r>
    </w:p>
    <w:p>
      <w:pPr>
        <w:pStyle w:val="null3"/>
      </w:pPr>
      <w:r>
        <w:rPr>
          <w:rFonts w:ascii="仿宋_GB2312" w:hAnsi="仿宋_GB2312" w:cs="仿宋_GB2312" w:eastAsia="仿宋_GB2312"/>
        </w:rPr>
        <w:t>地址：西安市新城区长缨西路 1 号华东万和城 3 号楼 2011 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1,975,200.00</w:t>
      </w:r>
    </w:p>
    <w:p>
      <w:pPr>
        <w:pStyle w:val="null3"/>
      </w:pPr>
      <w:r>
        <w:rPr>
          <w:rFonts w:ascii="仿宋_GB2312" w:hAnsi="仿宋_GB2312" w:cs="仿宋_GB2312" w:eastAsia="仿宋_GB2312"/>
        </w:rPr>
        <w:t>采购包最高限价（元）: 1,672,352.88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铜川市耀州区孙思邈中医院传承创新发展示范试点孙思邈学术流派工作室及中医药数据中心数字化平台建设项目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1,975,200.00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标的名称：铜川市耀州区孙思邈中医院传承创新发展示范试点孙思邈学术流派工作室及中医药数据中心数字化平台建设项目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本工程的施工过程和成果必须符合国家有关工程建设标准强制性条文和国家或有关部门关于工程施工方面现行的</w:t>
            </w:r>
            <w:r>
              <w:rPr>
                <w:rFonts w:ascii="仿宋_GB2312" w:hAnsi="仿宋_GB2312" w:cs="仿宋_GB2312" w:eastAsia="仿宋_GB2312"/>
                <w:sz w:val="21"/>
              </w:rPr>
              <w:t>标准、规范、规程、定额、办法、示例，以及陕西省关于工程施工方面的文件、规定。</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供应商在施工过程中使用或参考上述标准、规范以外的技术标准、规范时，应征得采购人的同意。</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在施工过程中，如果国家或有关部门颁布了新的技术标准或规范，则承包人应采用新的标准或规范进行施工。</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采购人提供工程的施工图纸和相关技术文件，是采购人现有的能被供应商使用的资料，采购人对供应商做出的任</w:t>
            </w:r>
            <w:r>
              <w:rPr>
                <w:rFonts w:ascii="仿宋_GB2312" w:hAnsi="仿宋_GB2312" w:cs="仿宋_GB2312" w:eastAsia="仿宋_GB2312"/>
                <w:sz w:val="21"/>
              </w:rPr>
              <w:t>何推论、理解均不负责任。</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供应商应先到工地踏勘以充分了解工地位置、地质情况、进出场道路、拆迁干扰、储存空间、运输能力、装卸限</w:t>
            </w:r>
            <w:r>
              <w:rPr>
                <w:rFonts w:ascii="仿宋_GB2312" w:hAnsi="仿宋_GB2312" w:cs="仿宋_GB2312" w:eastAsia="仿宋_GB2312"/>
                <w:sz w:val="21"/>
              </w:rPr>
              <w:t>制、行车干扰及任何其它足以影响承包价格的情况，了解设计图纸、施工规范、标准以及施工现场实际等情况，并</w:t>
            </w:r>
            <w:r>
              <w:rPr>
                <w:rFonts w:ascii="仿宋_GB2312" w:hAnsi="仿宋_GB2312" w:cs="仿宋_GB2312" w:eastAsia="仿宋_GB2312"/>
                <w:sz w:val="21"/>
              </w:rPr>
              <w:t>应考虑现有人、材、机市场水平和供应、投标风险、不利的施工因素等，任何因忽视或误解工地情况而导致的索赔</w:t>
            </w:r>
            <w:r>
              <w:rPr>
                <w:rFonts w:ascii="仿宋_GB2312" w:hAnsi="仿宋_GB2312" w:cs="仿宋_GB2312" w:eastAsia="仿宋_GB2312"/>
                <w:sz w:val="21"/>
              </w:rPr>
              <w:t>或工期延长申请将不获批准。</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供应商所提供的材料如需向第三方外购时，供应商应对质量负责，并提供相应的出厂和验收证明及相关技术文件</w:t>
            </w:r>
            <w:r>
              <w:rPr>
                <w:rFonts w:ascii="仿宋_GB2312" w:hAnsi="仿宋_GB2312" w:cs="仿宋_GB2312" w:eastAsia="仿宋_GB2312"/>
                <w:sz w:val="21"/>
              </w:rPr>
              <w:t>。同时，还应满足本磋商文件、工程量清单、施工图纸中的相关技术要求。</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质量必须达到现行合格标准，符合国家、行业、地方规定以及竞争性磋商文件规定的强制性质量和安全标准要求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供应商中标后，磋商响应文件中拟派项目经理必须与施工时实际委派项目经理一致，采购人将在签署施工合同前</w:t>
            </w:r>
            <w:r>
              <w:rPr>
                <w:rFonts w:ascii="仿宋_GB2312" w:hAnsi="仿宋_GB2312" w:cs="仿宋_GB2312" w:eastAsia="仿宋_GB2312"/>
                <w:sz w:val="21"/>
              </w:rPr>
              <w:t>查验项目经理相关资质、身份材料以及中标人为项目经理缴纳社保的缴费凭据。项目经理必须履职尽责，全程参与</w:t>
            </w:r>
            <w:r>
              <w:rPr>
                <w:rFonts w:ascii="仿宋_GB2312" w:hAnsi="仿宋_GB2312" w:cs="仿宋_GB2312" w:eastAsia="仿宋_GB2312"/>
                <w:sz w:val="21"/>
              </w:rPr>
              <w:t>施工、例会、解决施工中的问题，严禁挂名挂证。</w:t>
            </w:r>
          </w:p>
          <w:p>
            <w:pPr>
              <w:pStyle w:val="null3"/>
              <w:jc w:val="both"/>
            </w:pPr>
            <w:r>
              <w:rPr>
                <w:rFonts w:ascii="仿宋_GB2312" w:hAnsi="仿宋_GB2312" w:cs="仿宋_GB2312" w:eastAsia="仿宋_GB2312"/>
                <w:sz w:val="21"/>
              </w:rPr>
              <w:t>九、</w:t>
            </w:r>
            <w:r>
              <w:rPr>
                <w:rFonts w:ascii="仿宋_GB2312" w:hAnsi="仿宋_GB2312" w:cs="仿宋_GB2312" w:eastAsia="仿宋_GB2312"/>
                <w:sz w:val="21"/>
              </w:rPr>
              <w:t>本项目如涉及与政府部门（包含且不限于）环保、城管、地铁、规划等沟通协调或办理手续，费用及手续办理均</w:t>
            </w:r>
            <w:r>
              <w:rPr>
                <w:rFonts w:ascii="仿宋_GB2312" w:hAnsi="仿宋_GB2312" w:cs="仿宋_GB2312" w:eastAsia="仿宋_GB2312"/>
                <w:sz w:val="21"/>
              </w:rPr>
              <w:t>由承包人负责，如因沟通协调及办理手续原因造成工期延误或费用增加等由承包人负责。</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施工过程中，供应商应制定详细可行的防污降噪处理措施，减少对周围环境的影响，每天施工结束后对施工现</w:t>
            </w:r>
            <w:r>
              <w:rPr>
                <w:rFonts w:ascii="仿宋_GB2312" w:hAnsi="仿宋_GB2312" w:cs="仿宋_GB2312" w:eastAsia="仿宋_GB2312"/>
                <w:sz w:val="21"/>
              </w:rPr>
              <w:t>场进行清扫。</w:t>
            </w:r>
          </w:p>
          <w:p>
            <w:pPr>
              <w:pStyle w:val="null3"/>
              <w:jc w:val="both"/>
            </w:pPr>
            <w:r>
              <w:rPr>
                <w:rFonts w:ascii="仿宋_GB2312" w:hAnsi="仿宋_GB2312" w:cs="仿宋_GB2312" w:eastAsia="仿宋_GB2312"/>
                <w:sz w:val="21"/>
              </w:rPr>
              <w:t>十一、</w:t>
            </w:r>
            <w:r>
              <w:rPr>
                <w:rFonts w:ascii="仿宋_GB2312" w:hAnsi="仿宋_GB2312" w:cs="仿宋_GB2312" w:eastAsia="仿宋_GB2312"/>
                <w:sz w:val="21"/>
              </w:rPr>
              <w:t>承包人需要将专业工程或劳务进行分包的，应分包给具有相应资质的专业或劳务企业，并与分包企业签订分包</w:t>
            </w:r>
            <w:r>
              <w:rPr>
                <w:rFonts w:ascii="仿宋_GB2312" w:hAnsi="仿宋_GB2312" w:cs="仿宋_GB2312" w:eastAsia="仿宋_GB2312"/>
                <w:sz w:val="21"/>
              </w:rPr>
              <w:t>合同。</w:t>
            </w:r>
          </w:p>
          <w:p>
            <w:pPr>
              <w:pStyle w:val="null3"/>
              <w:jc w:val="both"/>
            </w:pPr>
            <w:r>
              <w:rPr>
                <w:rFonts w:ascii="仿宋_GB2312" w:hAnsi="仿宋_GB2312" w:cs="仿宋_GB2312" w:eastAsia="仿宋_GB2312"/>
                <w:sz w:val="21"/>
              </w:rPr>
              <w:t>十二、</w:t>
            </w:r>
            <w:r>
              <w:rPr>
                <w:rFonts w:ascii="仿宋_GB2312" w:hAnsi="仿宋_GB2312" w:cs="仿宋_GB2312" w:eastAsia="仿宋_GB2312"/>
                <w:sz w:val="21"/>
              </w:rPr>
              <w:t>承包人不得将其承包的工程转包给他人，也不得将其承包的工程以分包的名义转包给他人。</w:t>
            </w:r>
          </w:p>
          <w:p>
            <w:pPr>
              <w:pStyle w:val="null3"/>
              <w:jc w:val="both"/>
            </w:pPr>
            <w:r>
              <w:rPr>
                <w:rFonts w:ascii="仿宋_GB2312" w:hAnsi="仿宋_GB2312" w:cs="仿宋_GB2312" w:eastAsia="仿宋_GB2312"/>
                <w:sz w:val="21"/>
              </w:rPr>
              <w:t>十三、</w:t>
            </w:r>
            <w:r>
              <w:rPr>
                <w:rFonts w:ascii="仿宋_GB2312" w:hAnsi="仿宋_GB2312" w:cs="仿宋_GB2312" w:eastAsia="仿宋_GB2312"/>
                <w:sz w:val="21"/>
              </w:rPr>
              <w:t>工程分包不能解除承包人任何责任与义务。承包人应在分包场地派驻相应管理人员，保证本合同的履行。分包</w:t>
            </w:r>
            <w:r>
              <w:rPr>
                <w:rFonts w:ascii="仿宋_GB2312" w:hAnsi="仿宋_GB2312" w:cs="仿宋_GB2312" w:eastAsia="仿宋_GB2312"/>
                <w:sz w:val="21"/>
              </w:rPr>
              <w:t>单位的任何违约行为或疏忽导致工程损害或给发包人造成其他损失，承包人承担连带责任。</w:t>
            </w:r>
          </w:p>
          <w:p>
            <w:pPr>
              <w:pStyle w:val="null3"/>
              <w:jc w:val="both"/>
            </w:pPr>
            <w:r>
              <w:rPr>
                <w:rFonts w:ascii="仿宋_GB2312" w:hAnsi="仿宋_GB2312" w:cs="仿宋_GB2312" w:eastAsia="仿宋_GB2312"/>
                <w:sz w:val="21"/>
              </w:rPr>
              <w:t>十四、编制依据：</w:t>
            </w:r>
            <w:r>
              <w:br/>
            </w:r>
            <w:r>
              <w:rPr>
                <w:rFonts w:ascii="仿宋_GB2312" w:hAnsi="仿宋_GB2312" w:cs="仿宋_GB2312" w:eastAsia="仿宋_GB2312"/>
                <w:sz w:val="21"/>
              </w:rPr>
              <w:t xml:space="preserve"> 1.《陕西省建设工程工程量清单计价规则》（2009）； </w:t>
            </w:r>
            <w:r>
              <w:br/>
            </w:r>
            <w:r>
              <w:rPr>
                <w:rFonts w:ascii="仿宋_GB2312" w:hAnsi="仿宋_GB2312" w:cs="仿宋_GB2312" w:eastAsia="仿宋_GB2312"/>
                <w:sz w:val="21"/>
              </w:rPr>
              <w:t xml:space="preserve"> 2.采用广联达云计价平台GCCP6.0（6.4100.23.122）版本；</w:t>
            </w:r>
            <w:r>
              <w:br/>
            </w:r>
            <w:r>
              <w:rPr>
                <w:rFonts w:ascii="仿宋_GB2312" w:hAnsi="仿宋_GB2312" w:cs="仿宋_GB2312" w:eastAsia="仿宋_GB2312"/>
                <w:sz w:val="21"/>
              </w:rPr>
              <w:t xml:space="preserve"> 3.税金按陕建发【2019】45号文件综合系数调整计入，税金按市区计入； </w:t>
            </w:r>
            <w:r>
              <w:br/>
            </w:r>
            <w:r>
              <w:rPr>
                <w:rFonts w:ascii="仿宋_GB2312" w:hAnsi="仿宋_GB2312" w:cs="仿宋_GB2312" w:eastAsia="仿宋_GB2312"/>
                <w:sz w:val="21"/>
              </w:rPr>
              <w:t xml:space="preserve"> 4.安全文明施工措施费执行《关于增加建设工程扬尘治理专项措施费及综合人工单价调整的通知》（陕建发【2017】270号）和《关于发布我省落实建筑工人实名制管理计价依据的通知》（陕建发【2019】1246号）等政府相关文件；</w:t>
            </w:r>
            <w:r>
              <w:br/>
            </w:r>
            <w:r>
              <w:rPr>
                <w:rFonts w:ascii="仿宋_GB2312" w:hAnsi="仿宋_GB2312" w:cs="仿宋_GB2312" w:eastAsia="仿宋_GB2312"/>
                <w:sz w:val="21"/>
              </w:rPr>
              <w:t xml:space="preserve"> 5.建筑施工安全生产责任保险费用执行《陕西省住房和城乡建设厅关于建筑施工安全生产责任保险费用计价的通知》（陕建发【2020】1097号）；</w:t>
            </w:r>
            <w:r>
              <w:br/>
            </w:r>
            <w:r>
              <w:rPr>
                <w:rFonts w:ascii="仿宋_GB2312" w:hAnsi="仿宋_GB2312" w:cs="仿宋_GB2312" w:eastAsia="仿宋_GB2312"/>
                <w:sz w:val="21"/>
              </w:rPr>
              <w:t xml:space="preserve"> 6.关于全省统一停止收缴建筑业劳保费用的通知（陕建发【2021】1021号）；</w:t>
            </w:r>
            <w:r>
              <w:br/>
            </w:r>
            <w:r>
              <w:rPr>
                <w:rFonts w:ascii="仿宋_GB2312" w:hAnsi="仿宋_GB2312" w:cs="仿宋_GB2312" w:eastAsia="仿宋_GB2312"/>
                <w:sz w:val="21"/>
              </w:rPr>
              <w:t xml:space="preserve"> 7.其他未尽事宜详见工程量清单。</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民法典》、《中华人民共和国建筑法》、《建设工程质量管理条例》、《建设工程安全生产管理条例》、《建筑与市政工程施工质量控制通用规范》、《建筑工程质量保修办法》及陕西省的地方法规、政策性文件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1、履行期限： 自签订合同后60个日历日 2、履约地点：采购人指定地点 3、合同支付约定： （1） 自合同签订之日起15日内 ，达到付款条件起 15 日内，支付合同总金额的 60.00%。 （2） 自竣工验收合格之日起15日内 ，达到付款条件起 15 日内，支付合同总金额的 30.00%。 （3） 自审计结束后15日内 ，达到付款条件起 15 日内，支付合同总金额的 10.00%。 4、质保期：竣工验收合格之日起2年。响应时效：即时响应（包括电话响应）；电话响应无法解决12小时内到达现场。修复时间48小时内解决；如48小时内无法修复，应提供相应解决方案。 5、采购包最高限价: 1,672,352.88元，供应商报价超过最高限价的，其响应文件按无效处理。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税种须包含增值税或企业所得税），纳税证明或完税证明上应有代收机构或税务机关的公章或业务专用章（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供应商须提供投标截止时间6个月内任意1个月的社会保险缴纳证明缴存单据或社保机构开具的社会保险参保缴费情况证明（注：依法不需要缴纳社会保障资金的供应商应提供相关文件证明）；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 网站（www .creditchina.gov.cn）列入失信被执行人和重大税收违法失信主体，未被中国政府采购网（www.ccgp.gov.cn）列入政府采购严重违法失信行为记录名单；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供应商具备建筑工程施工总承包三级以上资质（含三级）或建筑装修装饰工程专业承包二级以上资质（含二级），具有有效的国家建设行政主管部门颁发的安全生产许可证；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实施方案.docx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依据采购文件规定，从响应文件的有效性、完整性和响应程度进行审查。出现下列情况之一 （但不限于）不得进入评审环节：（1）响应文 件未按照竞采购文件的要求编写；（2）响应文件未按采购文件要求签字、盖章；（3）供 应商的投标报价超过采购预算或最高限价的； （4）无投标有效期或有效期达不到采购文件要求的；（5）响应文件未实质性响应采购文件要 求的；（6）响应文件附加了采购人难以接受的条件或条款的； （7）不符合法律、法规和采购 文件中规定的其他实质性要求的。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实施方案.docx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方案非常详细并且完整可行、有针对性，完全满足项目实施的得5~7分；方案较详细完整 、可行，较利于项目实施的得3~5分； 方案基本可行，基本满足项目实施需要的得1~3分；其他或未提供得0分。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整体进度安排（施工进度表或施工网络图）及各阶段进度保证措施内容合理、方案具体可行、完全符合要求得5~7分； 内容较合理、方案可行性一般，基本符合要求得3~5分； 内容不完备、方案可行性差、不能全面符合要求得1~3分；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安全文明、环保保证体系组织措施和控制点设置合理，内容合理、方案具体可行、完全符合要求得4~6分； 内容较合理、方案可行性一般，基本符合要求得2~4分； 内容不完备、方案可行性差、不能全面符合要求得0.1~2分；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措施计划齐全、合理且切实可行，完全满足采购人需求得5~7分；措施计划齐全、合理、基本可行，基本满足采购人需求得3~5分；措施计划基本完备齐全、合理性、可行性较差，得1~3分； 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人员岗位配置完整（除项目经理外，技术负责人、施工员、安全员、材料员、资料员、 质量员、预算员等）齐全，搭配合理，职位分明、有相应的技术能力。 人员配备合理 、科学可行、完全符合要求得5~7分； 人员配备较合理、可行性一般，基本符合要求得3~5 分； 人员配备不完备、可行性差、不能全面符合要求得1~3分；未提供不计分。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根据供应商投入的设备和材料投入计划等进行评审。设备投入合理并提供来源证明材料 ，投入材料环保性达到国际标准得5~7分； 设备投入基本合理，材料环保性较好，得3~5分 ；设备和材料投入计划有欠缺，得1~3分；其他或未提供得0分。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 ，确保本项目质量标准符合相关标准。 内容合理、方案具体可行、完全符合要求得5~7分 ； 内容较合理、方案可行性一般，基本符合要求得3~5分； 内容不完备、方案可行性差 、不能全面符合要求得1~3分；未提供不计分。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 案。 内容合理、方案具体可行、完全符合要求得3~5分； 内容较合理、方案可行性一般 ，基本符合要求得2~3分； 内容不完备、方案可行性差、不能全面符合要求得0.1~2分；未提供不计分。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 扬尘管理措施合理、有详尽的扬尘控制措施并可达到国家控制的标准得5~7分；现场扬尘 管理措施较为合理得3~5分；现场扬尘管理措施一般得1~3分；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2022年7月至开标时间前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