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版本号：ZTZLZC-TC2025-051020250725001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ZTZLZC-TC2025-0510</w:t>
      </w:r>
      <w:r>
        <w:br/>
      </w:r>
      <w:r>
        <w:br/>
      </w:r>
      <w:r>
        <w:br/>
      </w:r>
    </w:p>
    <w:p>
      <w:pPr>
        <w:pStyle w:val="null3"/>
        <w:jc w:val="center"/>
        <w:outlineLvl w:val="2"/>
      </w:pPr>
      <w:r>
        <w:rPr>
          <w:rFonts w:ascii="仿宋_GB2312" w:hAnsi="仿宋_GB2312" w:cs="仿宋_GB2312" w:eastAsia="仿宋_GB2312"/>
          <w:sz w:val="28"/>
          <w:b/>
        </w:rPr>
        <w:t>铜川市耀州区孙思邈中医院</w:t>
      </w:r>
    </w:p>
    <w:p>
      <w:pPr>
        <w:pStyle w:val="null3"/>
        <w:jc w:val="center"/>
        <w:outlineLvl w:val="2"/>
      </w:pPr>
      <w:r>
        <w:rPr>
          <w:rFonts w:ascii="仿宋_GB2312" w:hAnsi="仿宋_GB2312" w:cs="仿宋_GB2312" w:eastAsia="仿宋_GB2312"/>
          <w:sz w:val="28"/>
          <w:b/>
        </w:rPr>
        <w:t>陕西中天正略企业运营发展有限公司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陕西中天正略企业运营发展有限公司</w:t>
      </w:r>
      <w:r>
        <w:rPr>
          <w:rFonts w:ascii="仿宋_GB2312" w:hAnsi="仿宋_GB2312" w:cs="仿宋_GB2312" w:eastAsia="仿宋_GB2312"/>
        </w:rPr>
        <w:t>（以下简称“代理机构”）受</w:t>
      </w:r>
      <w:r>
        <w:rPr>
          <w:rFonts w:ascii="仿宋_GB2312" w:hAnsi="仿宋_GB2312" w:cs="仿宋_GB2312" w:eastAsia="仿宋_GB2312"/>
        </w:rPr>
        <w:t>铜川市耀州区孙思邈中医院</w:t>
      </w:r>
      <w:r>
        <w:rPr>
          <w:rFonts w:ascii="仿宋_GB2312" w:hAnsi="仿宋_GB2312" w:cs="仿宋_GB2312" w:eastAsia="仿宋_GB2312"/>
        </w:rPr>
        <w:t>委托，拟对</w:t>
      </w:r>
      <w:r>
        <w:rPr>
          <w:rFonts w:ascii="仿宋_GB2312" w:hAnsi="仿宋_GB2312" w:cs="仿宋_GB2312" w:eastAsia="仿宋_GB2312"/>
        </w:rPr>
        <w:t>消防改造工程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ZTZLZC-TC2025-0510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消防改造工程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消防改造工程，采购内容：具体详见竞争性磋商文件。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2、供应商应授权合法的人员参加投标：法定代表人直接参加投标，须出具法定代表人身份证明；法定代表人授权代表参加投标，须出具法定代表人授权书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3、资质要求：供应商须具备建筑行政主管部门颁发的建筑工程施工总承包三级及以上资质，并具有合格有效的安全生产许可证</w:t>
      </w:r>
    </w:p>
    <w:p>
      <w:pPr>
        <w:pStyle w:val="null3"/>
      </w:pPr>
      <w:r>
        <w:rPr>
          <w:rFonts w:ascii="仿宋_GB2312" w:hAnsi="仿宋_GB2312" w:cs="仿宋_GB2312" w:eastAsia="仿宋_GB2312"/>
        </w:rPr>
        <w:t>4、项目经理：拟派本项目的项目经理须具备建筑工程专业二级及以上注册建造师执业资格且在本单位注册，具备有效的安全生产考核合格证（建安B证），且未担任其它在建工程的项目经理资格证明</w:t>
      </w:r>
    </w:p>
    <w:p>
      <w:pPr>
        <w:pStyle w:val="null3"/>
      </w:pPr>
      <w:r>
        <w:rPr>
          <w:rFonts w:ascii="仿宋_GB2312" w:hAnsi="仿宋_GB2312" w:cs="仿宋_GB2312" w:eastAsia="仿宋_GB2312"/>
        </w:rPr>
        <w:t>5、财务状况报告：提供2024年度的财务审计报告或开户银行出具的资信证明</w:t>
      </w:r>
    </w:p>
    <w:p>
      <w:pPr>
        <w:pStyle w:val="null3"/>
      </w:pPr>
      <w:r>
        <w:rPr>
          <w:rFonts w:ascii="仿宋_GB2312" w:hAnsi="仿宋_GB2312" w:cs="仿宋_GB2312" w:eastAsia="仿宋_GB2312"/>
        </w:rPr>
        <w:t>6、税收缴纳证明：开标前近六个月内至少一个月的纳税凭证/证明，依法免税的应提供相关证明材料</w:t>
      </w:r>
    </w:p>
    <w:p>
      <w:pPr>
        <w:pStyle w:val="null3"/>
      </w:pPr>
      <w:r>
        <w:rPr>
          <w:rFonts w:ascii="仿宋_GB2312" w:hAnsi="仿宋_GB2312" w:cs="仿宋_GB2312" w:eastAsia="仿宋_GB2312"/>
        </w:rPr>
        <w:t>7、社会保障资金缴纳证明：开标前近六个月内至少一个月的社会保障资金缴纳凭证/证明，依法不需要缴纳的应提供相关证明材料</w:t>
      </w:r>
    </w:p>
    <w:p>
      <w:pPr>
        <w:pStyle w:val="null3"/>
      </w:pPr>
      <w:r>
        <w:rPr>
          <w:rFonts w:ascii="仿宋_GB2312" w:hAnsi="仿宋_GB2312" w:cs="仿宋_GB2312" w:eastAsia="仿宋_GB2312"/>
        </w:rPr>
        <w:t>8、履约能力：提供具有履行本合同所必需的设备和专业技术能力的说明或承诺书</w:t>
      </w:r>
    </w:p>
    <w:p>
      <w:pPr>
        <w:pStyle w:val="null3"/>
      </w:pPr>
      <w:r>
        <w:rPr>
          <w:rFonts w:ascii="仿宋_GB2312" w:hAnsi="仿宋_GB2312" w:cs="仿宋_GB2312" w:eastAsia="仿宋_GB2312"/>
        </w:rPr>
        <w:t>9、书面声明：供应商应出具参加政府采购活动前3年内在经营活动中没有重大违法记录的书面声明</w:t>
      </w:r>
    </w:p>
    <w:p>
      <w:pPr>
        <w:pStyle w:val="null3"/>
      </w:pPr>
      <w:r>
        <w:rPr>
          <w:rFonts w:ascii="仿宋_GB2312" w:hAnsi="仿宋_GB2312" w:cs="仿宋_GB2312" w:eastAsia="仿宋_GB2312"/>
        </w:rPr>
        <w:t>10、信用截图：供应商不得被列入“中国执行信息公开网”（http://zxgk.court.gov.cn）失信被执行人，不得被列入“信用中国”网站（www.creditchina.gov.cn）重大税收违法失信主体，不得被列入“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铜川市耀州区孙思邈中医院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铜川市耀州区永安南路51号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陈泳伯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0919-6181954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陕西中天正略企业运营发展有限公司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陕西省西安市雁塔区西安曲江新区翠华路500号佳和中心B座26层3号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029-89660303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采购包1：1,637,901.87元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代理服务费收费标准：根据《国家发展改革委关于进一步放开建设项目专业服务价格的通知》（发改价格〔2015〕299号）文规定的收费标准，由成交人领取中标通知书时一次性支付完毕。</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铜川市耀州区孙思邈中医院</w:t>
      </w:r>
      <w:r>
        <w:rPr>
          <w:rFonts w:ascii="仿宋_GB2312" w:hAnsi="仿宋_GB2312" w:cs="仿宋_GB2312" w:eastAsia="仿宋_GB2312"/>
        </w:rPr>
        <w:t>和</w:t>
      </w:r>
      <w:r>
        <w:rPr>
          <w:rFonts w:ascii="仿宋_GB2312" w:hAnsi="仿宋_GB2312" w:cs="仿宋_GB2312" w:eastAsia="仿宋_GB2312"/>
        </w:rPr>
        <w:t>陕西中天正略企业运营发展有限公司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铜川市耀州区孙思邈中医院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陕西中天正略企业运营发展有限公司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铜川市耀州区孙思邈中医院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陕西中天正略企业运营发展有限公司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联系人：雷凡</w:t>
      </w:r>
    </w:p>
    <w:p>
      <w:pPr>
        <w:pStyle w:val="null3"/>
      </w:pPr>
      <w:r>
        <w:rPr>
          <w:rFonts w:ascii="仿宋_GB2312" w:hAnsi="仿宋_GB2312" w:cs="仿宋_GB2312" w:eastAsia="仿宋_GB2312"/>
        </w:rPr>
        <w:t>联系电话：029-89660303</w:t>
      </w:r>
    </w:p>
    <w:p>
      <w:pPr>
        <w:pStyle w:val="null3"/>
      </w:pPr>
      <w:r>
        <w:rPr>
          <w:rFonts w:ascii="仿宋_GB2312" w:hAnsi="仿宋_GB2312" w:cs="仿宋_GB2312" w:eastAsia="仿宋_GB2312"/>
        </w:rPr>
        <w:t>地址：西安曲江新区翠华路500号佳和中心B座26层3号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1,637,901.87</w:t>
      </w:r>
    </w:p>
    <w:p>
      <w:pPr>
        <w:pStyle w:val="null3"/>
      </w:pPr>
      <w:r>
        <w:rPr>
          <w:rFonts w:ascii="仿宋_GB2312" w:hAnsi="仿宋_GB2312" w:cs="仿宋_GB2312" w:eastAsia="仿宋_GB2312"/>
        </w:rPr>
        <w:t>采购包最高限价（元）: 1,637,901.87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铜川市耀州区孙思邈中医院消防改造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1,637,901.87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标的名称：铜川市耀州区孙思邈中医院消防改造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达到国家验收规范</w:t>
            </w:r>
            <w:r>
              <w:rPr>
                <w:rFonts w:ascii="仿宋_GB2312" w:hAnsi="仿宋_GB2312" w:cs="仿宋_GB2312" w:eastAsia="仿宋_GB2312"/>
                <w:sz w:val="21"/>
              </w:rPr>
              <w:t>“合格”标准。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质保期：2年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1.本项目采购标的所属行业为：建筑业。 2.投标人无需提交纸质投标文件,待采购结果公告后,由中标（成交）单位补交纸质（与电子版内容保持一致）投标文件（正本壹份、副本贰份、电子版（U盘）贰份）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w:t>
            </w:r>
          </w:p>
        </w:tc>
        <w:tc>
          <w:tcPr>
            <w:tcW w:type="dxa" w:w="3322"/>
          </w:tcPr>
          <w:p>
            <w:pPr>
              <w:pStyle w:val="null3"/>
            </w:pPr>
            <w:r>
              <w:rPr>
                <w:rFonts w:ascii="仿宋_GB2312" w:hAnsi="仿宋_GB2312" w:cs="仿宋_GB2312" w:eastAsia="仿宋_GB2312"/>
              </w:rPr>
              <w:t>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供应商须具备建筑行政主管部门颁发的建筑工程施工总承包三级及以上资质，并具有合格有效的安全生产许可证</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拟派本项目的项目经理须具备建筑工程专业二级及以上注册建造师执业资格且在本单位注册，具备有效的安全生产考核合格证（建安B证），且未担任其它在建工程的项目经理资格证明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提供2024年度的财务审计报告或开户银行出具的资信证明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开标前近六个月内至少一个月的纳税凭证/证明，依法免税的应提供相关证明材料</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开标前近六个月内至少一个月的社会保障资金缴纳凭证/证明，依法不需要缴纳的应提供相关证明材料</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提供具有履行本合同所必需的设备和专业技术能力的说明或承诺书</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响应文件签字盖章、格式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 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报价一览表.pdf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对工期、质保期、质量标准的响应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竞争性磋商响应函.pdf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w:t>
            </w:r>
          </w:p>
        </w:tc>
        <w:tc>
          <w:tcPr>
            <w:tcW w:type="dxa" w:w="3322"/>
          </w:tcPr>
          <w:p>
            <w:pPr>
              <w:pStyle w:val="null3"/>
            </w:pPr>
            <w:r>
              <w:rPr>
                <w:rFonts w:ascii="仿宋_GB2312" w:hAnsi="仿宋_GB2312" w:cs="仿宋_GB2312" w:eastAsia="仿宋_GB2312"/>
              </w:rPr>
              <w:t>内容齐全、无遗漏</w:t>
            </w:r>
          </w:p>
        </w:tc>
        <w:tc>
          <w:tcPr>
            <w:tcW w:type="dxa" w:w="1661"/>
          </w:tcPr>
          <w:p>
            <w:pPr>
              <w:pStyle w:val="null3"/>
            </w:pPr>
            <w:r>
              <w:rPr>
                <w:rFonts w:ascii="仿宋_GB2312" w:hAnsi="仿宋_GB2312" w:cs="仿宋_GB2312" w:eastAsia="仿宋_GB2312"/>
              </w:rPr>
              <w:t>竞争性磋商响应函.pdf 技术方案.pdf 供应商认为有必要补充说明的事项.pdf 供应商资格证明文件.pdf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竞争性磋商响应函.pdf 技术方案.pdf 供应商认为有必要补充说明的事项.pdf 供应商资格证明文件.pdf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施工方案全面、详细、科学合理，可实施性强，由评审小组横向比较，得8.1-12分； 施工方案较全面、方案基本科学合理，有可实施性，由评审小组横向比较，得4.1-8分； 施工方案不完整，方案合理性差，可实施性差，由评审小组横向比较，得1-4分。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根据本项目的具体实施内容，做出质量保证，质量保证措施有力、完善、具体，由评审小组横向比较，得6.1-10分； 质量保证措施较完善、具体，由评审小组横向比较，得3.1-6分； 质量保证措施不完善、不具体，由评审小组横向比较，得1-3分。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安全、环境保障措施</w:t>
            </w:r>
          </w:p>
        </w:tc>
        <w:tc>
          <w:tcPr>
            <w:tcW w:type="dxa" w:w="2492"/>
          </w:tcPr>
          <w:p>
            <w:pPr>
              <w:pStyle w:val="null3"/>
            </w:pPr>
            <w:r>
              <w:rPr>
                <w:rFonts w:ascii="仿宋_GB2312" w:hAnsi="仿宋_GB2312" w:cs="仿宋_GB2312" w:eastAsia="仿宋_GB2312"/>
              </w:rPr>
              <w:t>保证作业人员安全保障和环境保护措施完善、合理、科学、先进，由评审小组横向比较，得6.1-10分； 措施基本完善、合理，由评审小组横向比较，得3.1-6分； 措施不完善、不合理，由评审小组横向比较，得1-3分。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工作进度计划及保障措施</w:t>
            </w:r>
          </w:p>
        </w:tc>
        <w:tc>
          <w:tcPr>
            <w:tcW w:type="dxa" w:w="2492"/>
          </w:tcPr>
          <w:p>
            <w:pPr>
              <w:pStyle w:val="null3"/>
            </w:pPr>
            <w:r>
              <w:rPr>
                <w:rFonts w:ascii="仿宋_GB2312" w:hAnsi="仿宋_GB2312" w:cs="仿宋_GB2312" w:eastAsia="仿宋_GB2312"/>
              </w:rPr>
              <w:t>根据本项目的具体实施内容及作业区域，做出工作进度计划及保障措施，措施有力、针对性强，由评审小组横向比较，得4.1-6分； 措施可行、一般，由评审小组横向比较，得2.1-4分； 措施不力、不合理，由评审小组横向比较，得1-2分。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主要设施、设备的配置</w:t>
            </w:r>
          </w:p>
        </w:tc>
        <w:tc>
          <w:tcPr>
            <w:tcW w:type="dxa" w:w="2492"/>
          </w:tcPr>
          <w:p>
            <w:pPr>
              <w:pStyle w:val="null3"/>
            </w:pPr>
            <w:r>
              <w:rPr>
                <w:rFonts w:ascii="仿宋_GB2312" w:hAnsi="仿宋_GB2312" w:cs="仿宋_GB2312" w:eastAsia="仿宋_GB2312"/>
              </w:rPr>
              <w:t>拟投入的设施、设备合理齐全，确保项目的实施效果，安排计划配置表合理、科学，由评审小组横向比较，得6.1-10分； 拟投入的设施、设备较合理、较齐全安排计划表较合理，由评审小组横向比较，得3.1-6分； 拟投入的设施、设备不合理、不齐全安排计划表不合理，由评审小组横向比较，得1-3分。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对本项目配备的人员合理，分工明确，职责清晰的情况进行横向对比。人员配备合理、分工明确、责任清晰得8.1-12分； 人员配备较为合理、分工较为合理明确、责任较为合理清晰得4.1-8分； 人员配备一般合理、分工一般明确、责任一般清晰得1-4分。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服务承诺需体现服务期限符合采购人要求及质保期，承诺安排合理、完善、切实可行、针对性强、由评审小组横向比较，得1-5分。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近三年（2022年1月1日起）类似项目业绩（合同或中标通知书），每提供一项得2.5分，最高得5分。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对磋商文件做出实质性响应的所有合格投标人中的最低价格为本次评标的评审基准价。投标报价等于评审基准价的得满分值30分，其他投标人的价格分统一按照下列公式计算： 投标报价得分=（评标基准价/投标报价）×30。 本项目为专门面向中小型企业，不享受价格折扣优惠。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报价一览表.pdf</w:t>
            </w:r>
          </w:p>
          <w:p>
            <w:pPr>
              <w:pStyle w:val="null3"/>
            </w:pPr>
            <w:r>
              <w:rPr>
                <w:rFonts w:ascii="仿宋_GB2312" w:hAnsi="仿宋_GB2312" w:cs="仿宋_GB2312" w:eastAsia="仿宋_GB2312"/>
              </w:rPr>
              <w:t>竞争性磋商响应函.pdf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详见附件：竞争性磋商响应函.pdf</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详见附件：报价一览表.pdf</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详见附件：技术方案.pdf</w:t>
      </w:r>
    </w:p>
    <w:p>
      <w:pPr>
        <w:pStyle w:val="null3"/>
        <w:ind w:firstLine="960"/>
      </w:pPr>
      <w:r>
        <w:rPr>
          <w:rFonts w:ascii="仿宋_GB2312" w:hAnsi="仿宋_GB2312" w:cs="仿宋_GB2312" w:eastAsia="仿宋_GB2312"/>
        </w:rPr>
        <w:t>详见附件：供应商资格证明文件.pdf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详见附件：供应商认为有必要补充说明的事项.pdf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