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版本号：JTZB2025-02120250801002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耀州区高级职业中学电力接入及电气安装工程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JTZB2025-021</w:t>
      </w:r>
      <w:r>
        <w:br/>
      </w:r>
      <w:r>
        <w:br/>
      </w:r>
      <w:r>
        <w:br/>
      </w:r>
    </w:p>
    <w:p>
      <w:pPr>
        <w:pStyle w:val="null3"/>
        <w:jc w:val="center"/>
        <w:outlineLvl w:val="2"/>
      </w:pPr>
      <w:r>
        <w:rPr>
          <w:rFonts w:ascii="仿宋_GB2312" w:hAnsi="仿宋_GB2312" w:cs="仿宋_GB2312" w:eastAsia="仿宋_GB2312"/>
          <w:sz w:val="28"/>
          <w:b/>
        </w:rPr>
        <w:t>铜川市耀州区高级职业中学</w:t>
      </w:r>
    </w:p>
    <w:p>
      <w:pPr>
        <w:pStyle w:val="null3"/>
        <w:jc w:val="center"/>
        <w:outlineLvl w:val="2"/>
      </w:pPr>
      <w:r>
        <w:rPr>
          <w:rFonts w:ascii="仿宋_GB2312" w:hAnsi="仿宋_GB2312" w:cs="仿宋_GB2312" w:eastAsia="仿宋_GB2312"/>
          <w:sz w:val="28"/>
          <w:b/>
        </w:rPr>
        <w:t>陕西钧天项目管理有限公司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陕西钧天项目管理有限公司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铜川市耀州区高级职业中学</w:t>
      </w:r>
      <w:r>
        <w:rPr>
          <w:rFonts w:ascii="仿宋_GB2312" w:hAnsi="仿宋_GB2312" w:cs="仿宋_GB2312" w:eastAsia="仿宋_GB2312"/>
        </w:rPr>
        <w:t>委托，拟对</w:t>
      </w:r>
      <w:r>
        <w:rPr>
          <w:rFonts w:ascii="仿宋_GB2312" w:hAnsi="仿宋_GB2312" w:cs="仿宋_GB2312" w:eastAsia="仿宋_GB2312"/>
        </w:rPr>
        <w:t>耀州区高级职业中学电力接入及电气安装工程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JTZB2025-021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耀州区高级职业中学电力接入及电气安装工程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改善学校师生的学习、工作和生活环境，解决教学活动及日常师生生活、学习、办公的正常用电，学校计划对教学楼、办公楼及宿舍楼用电设施进行采购，同时因现有电力线路无法满足用电负荷需求，需同步进行10kv电力线路建设并安装10kV环网柜及电气设备(箱式变压器) 。</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 或其基本存款账户开户银行出具的资信证明及基本存款账户开户许可证 (基本账户存款信息) 。供应商需在项目电子化交易系统中按要求上传相应证明文件并进行电子签章。</w:t>
      </w:r>
    </w:p>
    <w:p>
      <w:pPr>
        <w:pStyle w:val="null3"/>
      </w:pPr>
      <w:r>
        <w:rPr>
          <w:rFonts w:ascii="仿宋_GB2312" w:hAnsi="仿宋_GB2312" w:cs="仿宋_GB2312" w:eastAsia="仿宋_GB2312"/>
        </w:rPr>
        <w:t>3、税收缴纳证明：提供2024年7月至今已缴纳的1个月的纳税证明或完税证明，依法免税的单位应提供相关证明材料。供应商需在项目电子化交易系统中按要求上传相应证明文件并进行电子签章。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7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人身份证)，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 v.cn)” 中列入失信被执行人和重大税收违法案件 当事人名单的供应商，不得为“ 中国政府采购网( www.ccgp.gov.cn)” 政府采购严重违法失信行为记录名单中被财政部门禁止参加政府采购活动的供应商 (采购代理机构查询，采购代理机构查询时限为磋商响应文件递交截止之日)。</w:t>
      </w:r>
    </w:p>
    <w:p>
      <w:pPr>
        <w:pStyle w:val="null3"/>
      </w:pPr>
      <w:r>
        <w:rPr>
          <w:rFonts w:ascii="仿宋_GB2312" w:hAnsi="仿宋_GB2312" w:cs="仿宋_GB2312" w:eastAsia="仿宋_GB2312"/>
        </w:rPr>
        <w:t>9、资质证书：提供电力工程施工总承包三级以上（含三级） 资质或输变电专业承包三级以上（含三级）资 质并同时具备《承装（修、试）电力设施许可证》承装、承修、承试类五级以上（含五级） 资质且具有有效的安全生产许可证，供应商需在项目电子化交易系统中按要求上传相应证明文件并进行电子签章。</w:t>
      </w:r>
    </w:p>
    <w:p>
      <w:pPr>
        <w:pStyle w:val="null3"/>
      </w:pPr>
      <w:r>
        <w:rPr>
          <w:rFonts w:ascii="仿宋_GB2312" w:hAnsi="仿宋_GB2312" w:cs="仿宋_GB2312" w:eastAsia="仿宋_GB2312"/>
        </w:rPr>
        <w:t>10、人员资质：供应商拟派项目经理具备有效期内的机电工程专业二级及以上建造师证书和有效期内的安全生产考核合格证书 (安B证) ，且无在建项目(提供承诺书) 。供应商需在项目电子化交易系统中按要求上传相应证明文件并进行电子签章。</w:t>
      </w:r>
    </w:p>
    <w:p>
      <w:pPr>
        <w:pStyle w:val="null3"/>
      </w:pPr>
      <w:r>
        <w:rPr>
          <w:rFonts w:ascii="仿宋_GB2312" w:hAnsi="仿宋_GB2312" w:cs="仿宋_GB2312" w:eastAsia="仿宋_GB2312"/>
        </w:rPr>
        <w:t>11、本项目不接受联合体投标：本项目不接受联合体投标（提供书面声明材料）。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铜川市耀州区高级职业中学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陕西省铜川市新区咸丰路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吴宏波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18992901248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陕西钧天项目管理有限公司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陕西省西安市市辖区陕西省西安市经济技术开发区高铁新城上林路1888号绿城柳岸晓风小区1幢11002室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15529192888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 [2002]1980号）和国家发展改革委员会办公厅颁发的《关于招标代理服务收费有关问题的通知》（发改办价格[2011]534号）的有关规定计取。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铜川市耀州区高级职业中学</w:t>
      </w:r>
      <w:r>
        <w:rPr>
          <w:rFonts w:ascii="仿宋_GB2312" w:hAnsi="仿宋_GB2312" w:cs="仿宋_GB2312" w:eastAsia="仿宋_GB2312"/>
        </w:rPr>
        <w:t>和</w:t>
      </w:r>
      <w:r>
        <w:rPr>
          <w:rFonts w:ascii="仿宋_GB2312" w:hAnsi="仿宋_GB2312" w:cs="仿宋_GB2312" w:eastAsia="仿宋_GB2312"/>
        </w:rPr>
        <w:t>陕西钧天项目管理有限公司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铜川市耀州区高级职业中学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陕西钧天项目管理有限公司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铜川市耀州区高级职业中学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陕西钧天项目管理有限公司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陕西钧天项目管理有限公司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联系人：李静</w:t>
      </w:r>
    </w:p>
    <w:p>
      <w:pPr>
        <w:pStyle w:val="null3"/>
      </w:pPr>
      <w:r>
        <w:rPr>
          <w:rFonts w:ascii="仿宋_GB2312" w:hAnsi="仿宋_GB2312" w:cs="仿宋_GB2312" w:eastAsia="仿宋_GB2312"/>
        </w:rPr>
        <w:t>联系电话：15529192888</w:t>
      </w:r>
    </w:p>
    <w:p>
      <w:pPr>
        <w:pStyle w:val="null3"/>
      </w:pPr>
      <w:r>
        <w:rPr>
          <w:rFonts w:ascii="仿宋_GB2312" w:hAnsi="仿宋_GB2312" w:cs="仿宋_GB2312" w:eastAsia="仿宋_GB2312"/>
        </w:rPr>
        <w:t>地址：铜川市新区正大路正大办公楼4楼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1,876,000.00</w:t>
      </w:r>
    </w:p>
    <w:p>
      <w:pPr>
        <w:pStyle w:val="null3"/>
      </w:pPr>
      <w:r>
        <w:rPr>
          <w:rFonts w:ascii="仿宋_GB2312" w:hAnsi="仿宋_GB2312" w:cs="仿宋_GB2312" w:eastAsia="仿宋_GB2312"/>
        </w:rPr>
        <w:t>采购包最高限价（元）: 1,876,000.00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铜川市耀州区高级职业中学电力接入及电气安装工程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1,876,000.00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标的名称：铜川市耀州区高级职业中学电力接入及电气安装工程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rPr>
              <w:t>工程概况：</w:t>
            </w:r>
          </w:p>
          <w:p>
            <w:pPr>
              <w:pStyle w:val="null3"/>
              <w:ind w:firstLine="400"/>
            </w:pPr>
            <w:r>
              <w:rPr>
                <w:rFonts w:ascii="仿宋_GB2312" w:hAnsi="仿宋_GB2312" w:cs="仿宋_GB2312" w:eastAsia="仿宋_GB2312"/>
              </w:rPr>
              <w:t>为进一步改善学校师生的学习、工作和生活环境，解决教学活动及日常师生生活、学习、办公的正常用电，学校计划对教学楼、办公楼及宿舍楼用电设施进行采购，同时因现有电力线路无法满足用电负荷需求，需同步进行</w:t>
            </w:r>
            <w:r>
              <w:rPr>
                <w:rFonts w:ascii="仿宋_GB2312" w:hAnsi="仿宋_GB2312" w:cs="仿宋_GB2312" w:eastAsia="仿宋_GB2312"/>
              </w:rPr>
              <w:t>10kv电力线路建设并安装10kV环网柜及电气设备(</w:t>
            </w:r>
            <w:r>
              <w:rPr>
                <w:rFonts w:ascii="仿宋_GB2312" w:hAnsi="仿宋_GB2312" w:cs="仿宋_GB2312" w:eastAsia="仿宋_GB2312"/>
              </w:rPr>
              <w:t>箱</w:t>
            </w:r>
            <w:r>
              <w:rPr>
                <w:rFonts w:ascii="仿宋_GB2312" w:hAnsi="仿宋_GB2312" w:cs="仿宋_GB2312" w:eastAsia="仿宋_GB2312"/>
              </w:rPr>
              <w:t>式变压器</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w:t>
            </w:r>
          </w:p>
          <w:p>
            <w:pPr>
              <w:pStyle w:val="null3"/>
            </w:pPr>
            <w:r>
              <w:rPr>
                <w:rFonts w:ascii="仿宋_GB2312" w:hAnsi="仿宋_GB2312" w:cs="仿宋_GB2312" w:eastAsia="仿宋_GB2312"/>
              </w:rPr>
              <w:t>二、</w:t>
            </w:r>
            <w:r>
              <w:rPr>
                <w:rFonts w:ascii="仿宋_GB2312" w:hAnsi="仿宋_GB2312" w:cs="仿宋_GB2312" w:eastAsia="仿宋_GB2312"/>
              </w:rPr>
              <w:t>技术标准和要求</w:t>
            </w:r>
            <w:r>
              <w:br/>
            </w:r>
            <w:r>
              <w:rPr>
                <w:rFonts w:ascii="仿宋_GB2312" w:hAnsi="仿宋_GB2312" w:cs="仿宋_GB2312" w:eastAsia="仿宋_GB2312"/>
              </w:rPr>
              <w:t xml:space="preserve"> </w:t>
            </w: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w:t>
            </w:r>
            <w:r>
              <w:br/>
            </w:r>
            <w:r>
              <w:rPr>
                <w:rFonts w:ascii="仿宋_GB2312" w:hAnsi="仿宋_GB2312" w:cs="仿宋_GB2312" w:eastAsia="仿宋_GB2312"/>
              </w:rPr>
              <w:t xml:space="preserve"> </w:t>
            </w:r>
            <w:r>
              <w:rPr>
                <w:rFonts w:ascii="仿宋_GB2312" w:hAnsi="仿宋_GB2312" w:cs="仿宋_GB2312" w:eastAsia="仿宋_GB2312"/>
              </w:rPr>
              <w:t>2.供应商在施工过程中使用或参考上述标准、规范以外的技术标准、规范时，应征得采购人的同意 。</w:t>
            </w:r>
            <w:r>
              <w:br/>
            </w:r>
            <w:r>
              <w:rPr>
                <w:rFonts w:ascii="仿宋_GB2312" w:hAnsi="仿宋_GB2312" w:cs="仿宋_GB2312" w:eastAsia="仿宋_GB2312"/>
              </w:rPr>
              <w:t xml:space="preserve"> </w:t>
            </w:r>
            <w:r>
              <w:rPr>
                <w:rFonts w:ascii="仿宋_GB2312" w:hAnsi="仿宋_GB2312" w:cs="仿宋_GB2312" w:eastAsia="仿宋_GB2312"/>
              </w:rPr>
              <w:t>3.在施工过程中，如果国家或有关部门颁布了新的技术标准或规范，则承包人应采用新的标准或规范进行施工。</w:t>
            </w:r>
            <w:r>
              <w:br/>
            </w:r>
            <w:r>
              <w:rPr>
                <w:rFonts w:ascii="仿宋_GB2312" w:hAnsi="仿宋_GB2312" w:cs="仿宋_GB2312" w:eastAsia="仿宋_GB2312"/>
              </w:rPr>
              <w:t xml:space="preserve"> </w:t>
            </w:r>
            <w:r>
              <w:rPr>
                <w:rFonts w:ascii="仿宋_GB2312" w:hAnsi="仿宋_GB2312" w:cs="仿宋_GB2312" w:eastAsia="仿宋_GB2312"/>
              </w:rPr>
              <w:t>4.采购人提供工程的施工图纸和相关技术文件，是采购人现有的能被供应商利用的资料，采购人对供应商做出的任何推论、理解均不负责任。</w:t>
            </w:r>
            <w:r>
              <w:br/>
            </w:r>
            <w:r>
              <w:rPr>
                <w:rFonts w:ascii="仿宋_GB2312" w:hAnsi="仿宋_GB2312" w:cs="仿宋_GB2312" w:eastAsia="仿宋_GB2312"/>
              </w:rPr>
              <w:t xml:space="preserve"> </w:t>
            </w: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r>
              <w:br/>
            </w:r>
            <w:r>
              <w:rPr>
                <w:rFonts w:ascii="仿宋_GB2312" w:hAnsi="仿宋_GB2312" w:cs="仿宋_GB2312" w:eastAsia="仿宋_GB2312"/>
              </w:rPr>
              <w:t xml:space="preserve"> </w:t>
            </w:r>
            <w:r>
              <w:rPr>
                <w:rFonts w:ascii="仿宋_GB2312" w:hAnsi="仿宋_GB2312" w:cs="仿宋_GB2312" w:eastAsia="仿宋_GB2312"/>
              </w:rPr>
              <w:t>6.供应商所提供的材料如需向第三方外购时，供应商应对质量负责，并提供相应的出厂和验收证明及相关技术文件。同时，还应满足本磋商文件、工程量清单、施工图纸中的相关技术要求。</w:t>
            </w:r>
            <w:r>
              <w:br/>
            </w:r>
            <w:r>
              <w:rPr>
                <w:rFonts w:ascii="仿宋_GB2312" w:hAnsi="仿宋_GB2312" w:cs="仿宋_GB2312" w:eastAsia="仿宋_GB2312"/>
              </w:rPr>
              <w:t xml:space="preserve"> </w:t>
            </w:r>
            <w:r>
              <w:rPr>
                <w:rFonts w:ascii="仿宋_GB2312" w:hAnsi="仿宋_GB2312" w:cs="仿宋_GB2312" w:eastAsia="仿宋_GB2312"/>
              </w:rPr>
              <w:t>7.质量必须达到现行合格标准，符合国家、行业、地方规定以及竞争性磋商文件规定的强制性质量和安全标准要求。</w:t>
            </w:r>
            <w:r>
              <w:br/>
            </w:r>
            <w:r>
              <w:rPr>
                <w:rFonts w:ascii="仿宋_GB2312" w:hAnsi="仿宋_GB2312" w:cs="仿宋_GB2312" w:eastAsia="仿宋_GB2312"/>
              </w:rPr>
              <w:t xml:space="preserve"> </w:t>
            </w:r>
            <w:r>
              <w:rPr>
                <w:rFonts w:ascii="仿宋_GB2312" w:hAnsi="仿宋_GB2312" w:cs="仿宋_GB2312" w:eastAsia="仿宋_GB2312"/>
              </w:rPr>
              <w:t>8.本项目如涉及与政府部门（包含且不限于）环保、城管、规划等沟通协调或办理手续，费用及手续办理均由承包人负责，如因沟通协调及办理手续原因造成工期延误或费用增加等由承包人负责。</w:t>
            </w:r>
            <w:r>
              <w:br/>
            </w:r>
            <w:r>
              <w:rPr>
                <w:rFonts w:ascii="仿宋_GB2312" w:hAnsi="仿宋_GB2312" w:cs="仿宋_GB2312" w:eastAsia="仿宋_GB2312"/>
              </w:rPr>
              <w:t xml:space="preserve"> </w:t>
            </w:r>
            <w:r>
              <w:rPr>
                <w:rFonts w:ascii="仿宋_GB2312" w:hAnsi="仿宋_GB2312" w:cs="仿宋_GB2312" w:eastAsia="仿宋_GB2312"/>
              </w:rPr>
              <w:t>9.施工过程中，供应商应制定详细可行的防污降噪处理措施，减少对周围环境的影响，每天施工结束后对施工现场进行清扫。</w:t>
            </w:r>
            <w:r>
              <w:br/>
            </w:r>
            <w:r>
              <w:rPr>
                <w:rFonts w:ascii="仿宋_GB2312" w:hAnsi="仿宋_GB2312" w:cs="仿宋_GB2312" w:eastAsia="仿宋_GB2312"/>
              </w:rPr>
              <w:t xml:space="preserve"> </w:t>
            </w:r>
            <w:r>
              <w:rPr>
                <w:rFonts w:ascii="仿宋_GB2312" w:hAnsi="仿宋_GB2312" w:cs="仿宋_GB2312" w:eastAsia="仿宋_GB2312"/>
              </w:rPr>
              <w:t>10.承包人不得将其承包的工程转包给他人，也不得将其承包的工程以分包的名义转包给他人。</w:t>
            </w:r>
            <w:r>
              <w:br/>
            </w:r>
            <w:r>
              <w:rPr>
                <w:rFonts w:ascii="仿宋_GB2312" w:hAnsi="仿宋_GB2312" w:cs="仿宋_GB2312" w:eastAsia="仿宋_GB2312"/>
              </w:rPr>
              <w:t xml:space="preserve"> </w:t>
            </w:r>
            <w:r>
              <w:rPr>
                <w:rFonts w:ascii="仿宋_GB2312" w:hAnsi="仿宋_GB2312" w:cs="仿宋_GB2312" w:eastAsia="仿宋_GB2312"/>
              </w:rPr>
              <w:t>11.工程分包不能解除承包人任何责任与义务。承包人应在分包场地派驻相应管理人员，保证本合同的履行。分包单位的任何违约行为或疏忽导致工程损害或给发包人造成其他损失，承包人承担连带责任。</w:t>
            </w:r>
            <w:r>
              <w:br/>
            </w:r>
            <w:r>
              <w:rPr>
                <w:rFonts w:ascii="仿宋_GB2312" w:hAnsi="仿宋_GB2312" w:cs="仿宋_GB2312" w:eastAsia="仿宋_GB2312"/>
              </w:rPr>
              <w:t xml:space="preserve"> </w:t>
            </w:r>
            <w:r>
              <w:rPr>
                <w:rFonts w:ascii="仿宋_GB2312" w:hAnsi="仿宋_GB2312" w:cs="仿宋_GB2312" w:eastAsia="仿宋_GB2312"/>
              </w:rPr>
              <w:t>12.工程量清单详见附件。</w:t>
            </w:r>
          </w:p>
          <w:p>
            <w:pPr>
              <w:pStyle w:val="null3"/>
            </w:pPr>
            <w:r>
              <w:rPr>
                <w:rFonts w:ascii="仿宋_GB2312" w:hAnsi="仿宋_GB2312" w:cs="仿宋_GB2312" w:eastAsia="仿宋_GB2312"/>
              </w:rPr>
              <w:t>三、本工程合同形式为固定综合单价合同。</w:t>
            </w:r>
            <w:r>
              <w:br/>
            </w:r>
            <w:r>
              <w:rPr>
                <w:rFonts w:ascii="仿宋_GB2312" w:hAnsi="仿宋_GB2312" w:cs="仿宋_GB2312" w:eastAsia="仿宋_GB2312"/>
              </w:rPr>
              <w:t xml:space="preserve"> 1.本工程计价采用固定综合单价，各供应商依据企业自身情况自主报价、风险自负。所有投标报价中的单价和合价均以人民币表示。</w:t>
            </w:r>
            <w:r>
              <w:br/>
            </w:r>
            <w:r>
              <w:rPr>
                <w:rFonts w:ascii="仿宋_GB2312" w:hAnsi="仿宋_GB2312" w:cs="仿宋_GB2312" w:eastAsia="仿宋_GB2312"/>
              </w:rPr>
              <w:t xml:space="preserve"> 2.供应商在投标报价时应仔细对磋商文件进行透彻的分析研究，对图纸进行仔细的阅读和理解。</w:t>
            </w:r>
            <w:r>
              <w:br/>
            </w:r>
            <w:r>
              <w:rPr>
                <w:rFonts w:ascii="仿宋_GB2312" w:hAnsi="仿宋_GB2312" w:cs="仿宋_GB2312" w:eastAsia="仿宋_GB2312"/>
              </w:rPr>
              <w:t xml:space="preserve"> 3.各供应商对分部分项工程费、措施项目费、其他项目费等进行自主报价、风险自负。</w:t>
            </w:r>
            <w:r>
              <w:br/>
            </w:r>
            <w:r>
              <w:rPr>
                <w:rFonts w:ascii="仿宋_GB2312" w:hAnsi="仿宋_GB2312" w:cs="仿宋_GB2312" w:eastAsia="仿宋_GB2312"/>
              </w:rPr>
              <w:t xml:space="preserve"> 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r>
              <w:br/>
            </w:r>
            <w:r>
              <w:rPr>
                <w:rFonts w:ascii="仿宋_GB2312" w:hAnsi="仿宋_GB2312" w:cs="仿宋_GB2312" w:eastAsia="仿宋_GB2312"/>
              </w:rPr>
              <w:t xml:space="preserve"> 5.供应商在投标截止前修改投标函中的投标总报价，应同时修改“已标价工程量清单”中的相应报价。</w:t>
            </w:r>
          </w:p>
          <w:p>
            <w:pPr>
              <w:pStyle w:val="null3"/>
            </w:pPr>
            <w:r>
              <w:rPr>
                <w:rFonts w:ascii="仿宋_GB2312" w:hAnsi="仿宋_GB2312" w:cs="仿宋_GB2312" w:eastAsia="仿宋_GB2312"/>
              </w:rPr>
              <w:t>四、其他</w:t>
            </w:r>
          </w:p>
          <w:p>
            <w:pPr>
              <w:pStyle w:val="null3"/>
            </w:pPr>
            <w:r>
              <w:rPr>
                <w:rFonts w:ascii="仿宋_GB2312" w:hAnsi="仿宋_GB2312" w:cs="仿宋_GB2312" w:eastAsia="仿宋_GB2312"/>
              </w:rPr>
              <w:t>专业工程暂估价： 1.箱变基础：21700 元 2.环网柜基础：17500 元 3.低压分支线箱基础：10000 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一、采购包1 ：工期90日历天；施工地点采购人指定地点。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 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 或其基本存款账户开户银行出具的资信证明及基本存款账户开户许可证 (基本账户存款信息)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法定代表人授权书及被授权人身份证(法定代表人直接参加磋商的须提供其法人身份证)，非法人单位参照执行。供应商需在项目电子化交易系统中按要求上传相应证明文件并进行电子签章。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 v.cn)” 中列入失信被执行人和重大税收违法案件 当事人名单的供应商，不得为“ 中国政府采购网( www.ccgp.gov.cn)” 政府采购严重违法失信行为记录名单中被财政部门禁止参加政府采购活动的供应商 (采购代理机构查询，采购代理机构查询时限为磋商响应文件递交截止之日)。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提供电力工程施工总承包三级以上（含三级） 资质或输变电专业承包三级以上（含三级）资 质并同时具备《承装（修、试）电力设施许可证》承装、承修、承试类五级以上（含五级） 资质且具有有效的安全生产许可证，供应商需在项目电子化交易系统中按要求上传相应证明文件并进行电子签章。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人员资质</w:t>
            </w:r>
          </w:p>
        </w:tc>
        <w:tc>
          <w:tcPr>
            <w:tcW w:type="dxa" w:w="3322"/>
          </w:tcPr>
          <w:p>
            <w:pPr>
              <w:pStyle w:val="null3"/>
            </w:pPr>
            <w:r>
              <w:rPr>
                <w:rFonts w:ascii="仿宋_GB2312" w:hAnsi="仿宋_GB2312" w:cs="仿宋_GB2312" w:eastAsia="仿宋_GB2312"/>
              </w:rPr>
              <w:t>供应商拟派项目经理具备有效期内的机电工程专业二级及以上建造师证书和有效期内的安全生产考核合格证书 (安B证) ，且无在建项目(提供承诺书)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本项目不接受联合体投标（提供书面声明材料）。</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磋商响应文件上法定代表人或被授权人的签字齐全并加盖公章。</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法定代表人授权委托书.docx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 得9.1-15分； 供应商能够针对本项目提供完整、合理、详尽的施工方案，内容较完整， 具有一定的可行性，得4.1-9分； 供应商针对本项目提出的施工方案不完整，得1-4分；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质量目标明确，预控和动态控制措施完整，管理休系和组织措施功能完善、管理幅度适宜，有关措施针对性强，得7.1-10分； 质量目标基本明确，控制措施基本全面得3.1-7分； 质量控制部分一般但不被评定为不响应的，得1-3分；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工期保证措施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工期保证措施得当，对本项目的工期重要性理解特别透彻，按时完工可靠性高，得7.1-10分； 工期保证措施基本可行，内容较为充实、全面的，得3.1-7分； 工期保证措施一般但不被评定为不响应的得1-3分；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本项目安全组织机构、技术措施等完善的，得7.1-10分； 安全保证措施基本可行，内容较为充实、全面的，得3.1-7分； 安全保证措施一般但不被评定为不响应的得1-3分；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施工环保措施</w:t>
            </w:r>
          </w:p>
        </w:tc>
        <w:tc>
          <w:tcPr>
            <w:tcW w:type="dxa" w:w="2492"/>
          </w:tcPr>
          <w:p>
            <w:pPr>
              <w:pStyle w:val="null3"/>
            </w:pPr>
            <w:r>
              <w:rPr>
                <w:rFonts w:ascii="仿宋_GB2312" w:hAnsi="仿宋_GB2312" w:cs="仿宋_GB2312" w:eastAsia="仿宋_GB2312"/>
              </w:rPr>
              <w:t>本项目施工环境等保护的组织机构、技术措施、制度完善的，得7.1-10分； 本项目施工 环境等保护的组织机构、技术措施、制度完善一般的，得3.1-7分； 施工环保措施一般但 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人员配备情况</w:t>
            </w:r>
          </w:p>
        </w:tc>
        <w:tc>
          <w:tcPr>
            <w:tcW w:type="dxa" w:w="2492"/>
          </w:tcPr>
          <w:p>
            <w:pPr>
              <w:pStyle w:val="null3"/>
            </w:pPr>
            <w:r>
              <w:rPr>
                <w:rFonts w:ascii="仿宋_GB2312" w:hAnsi="仿宋_GB2312" w:cs="仿宋_GB2312" w:eastAsia="仿宋_GB2312"/>
              </w:rPr>
              <w:t>项目组织机构合理，人员分工明确、具有相关职称和资格证，且经验丰富的得7.1-10分 ； 项目组织机构较合理、明确，基本符合项目实施的整体安排，有相关经验的得3.1-6分 ； 项目组织机构一般但不被评定为不响应的，得1-3分 严重缺项得0分。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供应商以合同或中标（成交）通知书形式提供2022年至今类似项目业绩，每提供1份得2.5分，最高得5分。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