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版本号：HRPD-2025-7.1B120250728001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耀州中学校内操场提升改造工程(二次)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HRPD-2025-7.1B1</w:t>
      </w:r>
      <w:r>
        <w:br/>
      </w:r>
      <w:r>
        <w:br/>
      </w:r>
      <w:r>
        <w:br/>
      </w:r>
    </w:p>
    <w:p>
      <w:pPr>
        <w:pStyle w:val="null3"/>
        <w:jc w:val="center"/>
        <w:outlineLvl w:val="2"/>
      </w:pPr>
      <w:r>
        <w:rPr>
          <w:rFonts w:ascii="仿宋_GB2312" w:hAnsi="仿宋_GB2312" w:cs="仿宋_GB2312" w:eastAsia="仿宋_GB2312"/>
          <w:sz w:val="28"/>
          <w:b/>
        </w:rPr>
        <w:t>铜川市耀州区耀州中学</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铜川市耀州区耀州中学</w:t>
      </w:r>
      <w:r>
        <w:rPr>
          <w:rFonts w:ascii="仿宋_GB2312" w:hAnsi="仿宋_GB2312" w:cs="仿宋_GB2312" w:eastAsia="仿宋_GB2312"/>
        </w:rPr>
        <w:t>委托，拟对</w:t>
      </w:r>
      <w:r>
        <w:rPr>
          <w:rFonts w:ascii="仿宋_GB2312" w:hAnsi="仿宋_GB2312" w:cs="仿宋_GB2312" w:eastAsia="仿宋_GB2312"/>
        </w:rPr>
        <w:t>耀州中学校内操场提升改造工程(二次)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HRPD-2025-7.1B1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耀州中学校内操场提升改造工程(二次)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耀州中学校内操场提升改造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采购包1（耀州中学校内操场提升改造工程）：属于专门面向中小企业采购。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1、供应商资质：须具备建筑工程施工总承包二级或市政公用工程施工总承包二级(含二级)及以上资质并具备有效的安全生产许可证，并在人员、设备、资金等方面具备相应的施工能力</w:t>
      </w:r>
    </w:p>
    <w:p>
      <w:pPr>
        <w:pStyle w:val="null3"/>
      </w:pPr>
      <w:r>
        <w:rPr>
          <w:rFonts w:ascii="仿宋_GB2312" w:hAnsi="仿宋_GB2312" w:cs="仿宋_GB2312" w:eastAsia="仿宋_GB2312"/>
        </w:rPr>
        <w:t>2、拟派项目负责人资质和专业要求。：证书等级：二级（含二级）及以上注册建造师执业资格 专业：建筑或市政工程专业 补充说明：有效的安全生产考核合格证书</w:t>
      </w:r>
    </w:p>
    <w:p>
      <w:pPr>
        <w:pStyle w:val="null3"/>
      </w:pPr>
      <w:r>
        <w:rPr>
          <w:rFonts w:ascii="仿宋_GB2312" w:hAnsi="仿宋_GB2312" w:cs="仿宋_GB2312" w:eastAsia="仿宋_GB2312"/>
        </w:rPr>
        <w:t>3、具有独立承担民事责任能力的相关证明：供应商具有独立承担民事责任能力的法人、其他组织或自然人，出具合法有效的营业执照等相关证明文件，自然人参与的提供其身份证明。</w:t>
      </w:r>
    </w:p>
    <w:p>
      <w:pPr>
        <w:pStyle w:val="null3"/>
      </w:pPr>
      <w:r>
        <w:rPr>
          <w:rFonts w:ascii="仿宋_GB2312" w:hAnsi="仿宋_GB2312" w:cs="仿宋_GB2312" w:eastAsia="仿宋_GB2312"/>
        </w:rPr>
        <w:t>4、供应商应授权合法的人员参加招标全过程：供应商应授权合法的人员参加磋商全过程，法定代表人直接参加磋商须提交其身份证原件及法定代表人证明书法定代表人授权代表参加磋商须出具授权书及被授权人身份证</w:t>
      </w:r>
    </w:p>
    <w:p>
      <w:pPr>
        <w:pStyle w:val="null3"/>
      </w:pPr>
      <w:r>
        <w:rPr>
          <w:rFonts w:ascii="仿宋_GB2312" w:hAnsi="仿宋_GB2312" w:cs="仿宋_GB2312" w:eastAsia="仿宋_GB2312"/>
        </w:rPr>
        <w:t>5、供应商履约能力：供应商具备履行合同所必需的设备和专业技术能力的书面声明，</w:t>
      </w:r>
    </w:p>
    <w:p>
      <w:pPr>
        <w:pStyle w:val="null3"/>
      </w:pPr>
      <w:r>
        <w:rPr>
          <w:rFonts w:ascii="仿宋_GB2312" w:hAnsi="仿宋_GB2312" w:cs="仿宋_GB2312" w:eastAsia="仿宋_GB2312"/>
        </w:rPr>
        <w:t>6、供应商信誉：供应商不得为“信用中国(www.creditchina.govcn)”中列入重大税收违法失信主体、严重失信主体名单及政府采购严重违法失信行为记录名单查询的供应商;不得在“中国执行信息公开网(htp:/zxgk.court.goucn)”被列为失信被执行人;不得为“中国政府采购网(www.ccgp.gov.cn)”政府采购严重违法失信行为记录名单中被财政部门禁止参加政府采购活动 的供应商;供应商为 企业的，不 得被列入"国家企业信用信息 公示系统(htp:/wwwgsxt.govcn/indexhtm)”行政处罚信息、经营异常名录信息及严重违法失信名单，除公司外其他主体不要求此条内容查询;(“信用中国”及“中国执行信息公开网”应同时提供法定代表人查询截图目不得被列入以上名单，以上提供网页查询打印预览截图，查询时间为各供应商领取招标文件之日至递交响应文件截止之日期间有效，截图页面背景须体现查询日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铜川市耀州区耀州中学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铜川市耀州区学古路32号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李若雨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18700680599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18220499005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采购包1：991,872.36元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代理服务费收费标准：依据（计价格【2002】1980）号文件计取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铜川市耀州区耀州中学</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铜川市耀州区耀州中学</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铜川市耀州区耀州中学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1.所验工程质量通过验收达不到竟争性磋商文件要求和磋商响应文件承诺的，或在使用中发现采购人不能容忍的缺陷等，将视为验收不合格。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联系人：张中耀</w:t>
      </w:r>
    </w:p>
    <w:p>
      <w:pPr>
        <w:pStyle w:val="null3"/>
      </w:pPr>
      <w:r>
        <w:rPr>
          <w:rFonts w:ascii="仿宋_GB2312" w:hAnsi="仿宋_GB2312" w:cs="仿宋_GB2312" w:eastAsia="仿宋_GB2312"/>
        </w:rPr>
        <w:t>联系电话：18220499005</w:t>
      </w:r>
    </w:p>
    <w:p>
      <w:pPr>
        <w:pStyle w:val="null3"/>
      </w:pPr>
      <w:r>
        <w:rPr>
          <w:rFonts w:ascii="仿宋_GB2312" w:hAnsi="仿宋_GB2312" w:cs="仿宋_GB2312" w:eastAsia="仿宋_GB2312"/>
        </w:rPr>
        <w:t>地址：铜川市新区金谟西路崇文街金谟影院南30米</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991,872.36</w:t>
      </w:r>
    </w:p>
    <w:p>
      <w:pPr>
        <w:pStyle w:val="null3"/>
      </w:pPr>
      <w:r>
        <w:rPr>
          <w:rFonts w:ascii="仿宋_GB2312" w:hAnsi="仿宋_GB2312" w:cs="仿宋_GB2312" w:eastAsia="仿宋_GB2312"/>
        </w:rPr>
        <w:t>采购包最高限价（元）: 991,872.36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校内操场提升改造工程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991,872.36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标的名称：校内操场提升改造工程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耀州中学校内操场提升改造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或2024年度经审计的财务报告（包含审计报告和审计报告中所涉及的财务报表和报表附注），②可提供2023年或2024年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须具备建筑工程施工总承包二级或市政公用工程施工总承包二级(含二级)及以上资质并具备有效的安全生产许可证，并在人员、设备、资金等方面具备相应的施工能力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证书等级：二级（含二级）及以上注册建造师执业资格 专业：建筑或市政工程专业 补充说明：有效的安全生产考核合格证书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具有独立承担民事责任能力的相关证明</w:t>
            </w:r>
          </w:p>
        </w:tc>
        <w:tc>
          <w:tcPr>
            <w:tcW w:type="dxa" w:w="3322"/>
          </w:tcPr>
          <w:p>
            <w:pPr>
              <w:pStyle w:val="null3"/>
            </w:pPr>
            <w:r>
              <w:rPr>
                <w:rFonts w:ascii="仿宋_GB2312" w:hAnsi="仿宋_GB2312" w:cs="仿宋_GB2312" w:eastAsia="仿宋_GB2312"/>
              </w:rPr>
              <w:t>供应商具有独立承担民事责任能力的法人、其他组织或自然人，出具合法有效的营业执照等相关证明文件，自然人参与的提供其身份证明。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供应商应授权合法的人员参加磋商全过程，法定代表人直接参加磋商须提交其身份证原件及法定代表人证明书法定代表人授权代表参加磋商须出具授权书及被授权人身份证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p:/zxgk.court.goucn)”被列为失信被执行人;不得为“中国政府采购网(www.ccgp.gov.cn)”政府采购严重违法失信行为记录名单中被财政部门禁止参加政府采购活动 的供应商;供应商为 企业的，不 得被列入"国家企业信用信息 公示系统(htp:/wwwgsxt.govcn/indexhtm)”行政处罚信息、经营异常名录信息及严重违法失信名单，除公司外其他主体不要求此条内容查询;(“信用中国”及“中国执行信息公开网”应同时提供法定代表人查询截图目不得被列入以上名单，以上提供网页查询打印预览截图，查询时间为各供应商领取招标文件之日至递交响应文件截止之日期间有效，截图页面背景须体现查询日期。)</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实施计划和方案</w:t>
            </w:r>
          </w:p>
        </w:tc>
        <w:tc>
          <w:tcPr>
            <w:tcW w:type="dxa" w:w="2492"/>
          </w:tcPr>
          <w:p>
            <w:pPr>
              <w:pStyle w:val="null3"/>
            </w:pPr>
            <w:r>
              <w:rPr>
                <w:rFonts w:ascii="仿宋_GB2312" w:hAnsi="仿宋_GB2312" w:cs="仿宋_GB2312" w:eastAsia="仿宋_GB2312"/>
              </w:rPr>
              <w:t>磋商小组根据投标人在投标文件中 提供的实施计划和方案(包括施工方案、进度安排计划、自查验收方案、保障措施方案等方面)综合比较进行赋分。方案完 整、可行性强得10-15分；基本可行得 5-10分；方案不完整、可行性差得1-5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工期承诺及保障措施</w:t>
            </w:r>
          </w:p>
        </w:tc>
        <w:tc>
          <w:tcPr>
            <w:tcW w:type="dxa" w:w="2492"/>
          </w:tcPr>
          <w:p>
            <w:pPr>
              <w:pStyle w:val="null3"/>
            </w:pPr>
            <w:r>
              <w:rPr>
                <w:rFonts w:ascii="仿宋_GB2312" w:hAnsi="仿宋_GB2312" w:cs="仿宋_GB2312" w:eastAsia="仿宋_GB2312"/>
              </w:rPr>
              <w:t>磋商小组根据投标人在投标文件中 提供的工期承诺及保障措施综合比 较进行赋分。工期承诺优于磋商文件 要求，保障措施全面、完善、可行的得 8-10分；工期承诺满足招标文件要 求，保障措施较全面、较完善、可行的 得4-8分；工期承诺满足磋商文件 要求，保障措施不全面、不完善、可行 性差的得1-4分； 注：工期不满足磋商文件要求的，按 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安全施工保障措施</w:t>
            </w:r>
          </w:p>
        </w:tc>
        <w:tc>
          <w:tcPr>
            <w:tcW w:type="dxa" w:w="2492"/>
          </w:tcPr>
          <w:p>
            <w:pPr>
              <w:pStyle w:val="null3"/>
            </w:pPr>
            <w:r>
              <w:rPr>
                <w:rFonts w:ascii="仿宋_GB2312" w:hAnsi="仿宋_GB2312" w:cs="仿宋_GB2312" w:eastAsia="仿宋_GB2312"/>
              </w:rPr>
              <w:t>磋商小组根据投标人在投标文件中提供的安全施工保障措施(包括但不限于：对工人岗前培训、配备安全设备和防护设施、消防安全、环保措施等)综 合比较进行赋分。保障措施全面、完善、 可行的得6-8分；保障措施较全面、较完善、可行的得8-10分；保障措施 不全面、不完善、可行性差的得1-4 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磋商小组根据投标人在投标文件中提供的质量保证措施综合比较进行赋分。质量保障措施内容完整， 具有科学、完善、合理的保障方案的计 7-10分；质量保障措施内容完整，具 有基本完善、合理的保障方案的计4-7 分；质量保障措施内容欠缺，无法保证 质量的1-4分。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项目组织管理及人员安排</w:t>
            </w:r>
          </w:p>
        </w:tc>
        <w:tc>
          <w:tcPr>
            <w:tcW w:type="dxa" w:w="2492"/>
          </w:tcPr>
          <w:p>
            <w:pPr>
              <w:pStyle w:val="null3"/>
            </w:pPr>
            <w:r>
              <w:rPr>
                <w:rFonts w:ascii="仿宋_GB2312" w:hAnsi="仿宋_GB2312" w:cs="仿宋_GB2312" w:eastAsia="仿宋_GB2312"/>
              </w:rPr>
              <w:t>1、拟派项目经理具备相关专业贰级以上(含贰级)注册建造师证书和有效的安全生产考核合格证书（B证），得3分；不满足者此项不得分，满分3分 2、磋商小组根据投标人在投标文件 中提供的项目组织管理及人员(项目负 责人除外)安排综合比较进行赋分。组 织结构健全，有完善的岗位制度和岗位 职责，人员安排合理、分工明确，可操 作性强的计3分；组织结构较为健全，有较为完善的岗位制度和岗位职 责，人员安排及分工较为合理，具有一 定的操作性的计4;组织结构不健全， 岗位制度和岗位职责安排简单，操作性 较差，或无方案的0分。 注：上述人员以提供相关证书或证件为准，否则不得分。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投标人提供自2022年1月1日至今完成类似业绩，以(中标通知书或合同）为准， 一项业绩得1分，满分5分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价格即满足磋商文件要求且磋商价格最低的磋商报价为评标基准价，其价格分为满分。其他供应商的价格分统一按照下列公式计算： 磋商报价得分=（评审基准价/磋商报价）×价格权值×100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详见附件：竞争性磋商工程合同模板.docx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