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版本号：WHYDZCD-07-00420250711005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教学楼、操场维修项目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WHYDZCD-07-004</w:t>
      </w:r>
      <w:r>
        <w:br/>
      </w:r>
      <w:r>
        <w:br/>
      </w:r>
      <w:r>
        <w:br/>
      </w:r>
    </w:p>
    <w:p>
      <w:pPr>
        <w:pStyle w:val="null3"/>
        <w:jc w:val="center"/>
        <w:outlineLvl w:val="2"/>
      </w:pPr>
      <w:r>
        <w:rPr>
          <w:rFonts w:ascii="仿宋_GB2312" w:hAnsi="仿宋_GB2312" w:cs="仿宋_GB2312" w:eastAsia="仿宋_GB2312"/>
          <w:sz w:val="28"/>
          <w:b/>
        </w:rPr>
        <w:t>铜川市耀州区小丘镇朱村小学</w:t>
      </w:r>
    </w:p>
    <w:p>
      <w:pPr>
        <w:pStyle w:val="null3"/>
        <w:jc w:val="center"/>
        <w:outlineLvl w:val="2"/>
      </w:pPr>
      <w:r>
        <w:rPr>
          <w:rFonts w:ascii="仿宋_GB2312" w:hAnsi="仿宋_GB2312" w:cs="仿宋_GB2312" w:eastAsia="仿宋_GB2312"/>
          <w:sz w:val="28"/>
          <w:b/>
        </w:rPr>
        <w:t>陕西文徽煜德项目管理有限公司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陕西文徽煜德项目管理有限公司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铜川市耀州区小丘镇朱村小学</w:t>
      </w:r>
      <w:r>
        <w:rPr>
          <w:rFonts w:ascii="仿宋_GB2312" w:hAnsi="仿宋_GB2312" w:cs="仿宋_GB2312" w:eastAsia="仿宋_GB2312"/>
        </w:rPr>
        <w:t>委托，拟对</w:t>
      </w:r>
      <w:r>
        <w:rPr>
          <w:rFonts w:ascii="仿宋_GB2312" w:hAnsi="仿宋_GB2312" w:cs="仿宋_GB2312" w:eastAsia="仿宋_GB2312"/>
        </w:rPr>
        <w:t>教学楼、操场维修项目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WHYDZCD-07-004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教学楼、操场维修项目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本项目位于：铜川市耀州区小丘镇朱村 项目内容主要有：1、教学楼内墙面及顶棚饰新改造，教室及走廊油漆面墙裙，外墙面真石漆饰新；教室门窗更换，落水管更换、栏杆油漆等。 2、综合楼内墙裙饰新改造，外墙勒脚改造；教室门窗更换，门窗改造，落水管更换、音乐教室、心理咨询室、少队部的教室改造等。 3、操场改造设计范围内全部内容，面积2664.785平方米， 具体内容详见竞争性磋商文件、工程量清单.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采购包1（铜川市耀州区小丘镇朱村小学教学楼、操场维修项目）：属于专门面向中小企业采购。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和专业要求：具备建设行政主管部门颁发的建筑工程施工总承包三级资质（含三级）或具备市政公用工程专业三级以上（含三级）且营业执照经营范围须包含装饰装修内容，并具有有效的安全生产许可证</w:t>
      </w:r>
    </w:p>
    <w:p>
      <w:pPr>
        <w:pStyle w:val="null3"/>
      </w:pPr>
      <w:r>
        <w:rPr>
          <w:rFonts w:ascii="仿宋_GB2312" w:hAnsi="仿宋_GB2312" w:cs="仿宋_GB2312" w:eastAsia="仿宋_GB2312"/>
        </w:rPr>
        <w:t>2、拟派项目负责人（项目经理）资质和专业要求：具备建筑工程专业二级以上（含二级）或市政公用工程注册建造师资格证及合格的安全生产考核合格证，须在本单位注册，且无在建项目，无在建项目承诺按附件格式</w:t>
      </w:r>
    </w:p>
    <w:p>
      <w:pPr>
        <w:pStyle w:val="null3"/>
      </w:pPr>
      <w:r>
        <w:rPr>
          <w:rFonts w:ascii="仿宋_GB2312" w:hAnsi="仿宋_GB2312" w:cs="仿宋_GB2312" w:eastAsia="仿宋_GB2312"/>
        </w:rPr>
        <w:t>3、法人代表授权委托书：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p>
      <w:pPr>
        <w:pStyle w:val="null3"/>
      </w:pPr>
      <w:r>
        <w:rPr>
          <w:rFonts w:ascii="仿宋_GB2312" w:hAnsi="仿宋_GB2312" w:cs="仿宋_GB2312" w:eastAsia="仿宋_GB2312"/>
        </w:rPr>
        <w:t>4、单位负责人为同一人或者存在直接控股、管理关系的不同供应商不得参加同一合同项下的政府采购活动；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pPr>
        <w:pStyle w:val="null3"/>
      </w:pPr>
      <w:r>
        <w:rPr>
          <w:rFonts w:ascii="仿宋_GB2312" w:hAnsi="仿宋_GB2312" w:cs="仿宋_GB2312" w:eastAsia="仿宋_GB2312"/>
        </w:rPr>
        <w:t>5、主体资格证明：具有独立承担民事责任的能力的相关证明：：供应商为合法注册的法人或其他组织或自然人，提供营业执照（或事业法人证）；自然人提供身份证明（复印件加盖公章）</w:t>
      </w:r>
    </w:p>
    <w:p>
      <w:pPr>
        <w:pStyle w:val="null3"/>
      </w:pPr>
      <w:r>
        <w:rPr>
          <w:rFonts w:ascii="仿宋_GB2312" w:hAnsi="仿宋_GB2312" w:cs="仿宋_GB2312" w:eastAsia="仿宋_GB2312"/>
        </w:rPr>
        <w:t>6、供应商应提供健全的财务会计制度的证明材料。：关于财务会计制度的证明材料｛注：可提供2024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p>
      <w:pPr>
        <w:pStyle w:val="null3"/>
      </w:pPr>
      <w:r>
        <w:rPr>
          <w:rFonts w:ascii="仿宋_GB2312" w:hAnsi="仿宋_GB2312" w:cs="仿宋_GB2312" w:eastAsia="仿宋_GB2312"/>
        </w:rPr>
        <w:t>7、税收缴纳证明：供应商须提供投标截止时间6个月内任意1个月的缴税证明（注：依法免税或零申报的供应商应提供相关文件证明）复印件加盖公章</w:t>
      </w:r>
    </w:p>
    <w:p>
      <w:pPr>
        <w:pStyle w:val="null3"/>
      </w:pPr>
      <w:r>
        <w:rPr>
          <w:rFonts w:ascii="仿宋_GB2312" w:hAnsi="仿宋_GB2312" w:cs="仿宋_GB2312" w:eastAsia="仿宋_GB2312"/>
        </w:rPr>
        <w:t>8、社会保障资金缴纳证明：供应商须提供投标截止时间6个月内任意1个月的社会保险缴纳证明（注：依法不需要缴纳社会保障资金的供应商应提供相关文件证明）复印件加盖公章</w:t>
      </w:r>
    </w:p>
    <w:p>
      <w:pPr>
        <w:pStyle w:val="null3"/>
      </w:pPr>
      <w:r>
        <w:rPr>
          <w:rFonts w:ascii="仿宋_GB2312" w:hAnsi="仿宋_GB2312" w:cs="仿宋_GB2312" w:eastAsia="仿宋_GB2312"/>
        </w:rPr>
        <w:t>9、专业技术能力：供应商应提供具有履行合同所必需的设备和专业技术能力的承诺函 格式自拟</w:t>
      </w:r>
    </w:p>
    <w:p>
      <w:pPr>
        <w:pStyle w:val="null3"/>
      </w:pPr>
      <w:r>
        <w:rPr>
          <w:rFonts w:ascii="仿宋_GB2312" w:hAnsi="仿宋_GB2312" w:cs="仿宋_GB2312" w:eastAsia="仿宋_GB2312"/>
        </w:rPr>
        <w:t>10、企业信誉声明：供应商应具备良好的商业信誉，提供参加政府采购活动前3年内在经营活动中没有重大违法记录的书面声明 格式自拟</w:t>
      </w:r>
    </w:p>
    <w:p>
      <w:pPr>
        <w:pStyle w:val="null3"/>
      </w:pPr>
      <w:r>
        <w:rPr>
          <w:rFonts w:ascii="仿宋_GB2312" w:hAnsi="仿宋_GB2312" w:cs="仿宋_GB2312" w:eastAsia="仿宋_GB2312"/>
        </w:rPr>
        <w:t>11、本项目不接受联合体投标：本项目不接受联合体投标，供应商应提供书面声明材料，格式自拟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铜川市耀州区小丘镇朱村小学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铜川市耀州区小丘镇朱村五组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18791495163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陕西文徽煜德项目管理有限公司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铜川市新区大耀城东区一单元2702室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18309198111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采购包1：1,971,474.00元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代理服务费收费标准：按照陕西省网上中介服务超市本项目选取通知书金额：人民币：21000.00元在发出成交通知书后一次性付清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铜川市耀州区小丘镇朱村小学</w:t>
      </w:r>
      <w:r>
        <w:rPr>
          <w:rFonts w:ascii="仿宋_GB2312" w:hAnsi="仿宋_GB2312" w:cs="仿宋_GB2312" w:eastAsia="仿宋_GB2312"/>
        </w:rPr>
        <w:t>和</w:t>
      </w:r>
      <w:r>
        <w:rPr>
          <w:rFonts w:ascii="仿宋_GB2312" w:hAnsi="仿宋_GB2312" w:cs="仿宋_GB2312" w:eastAsia="仿宋_GB2312"/>
        </w:rPr>
        <w:t>陕西文徽煜德项目管理有限公司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铜川市耀州区小丘镇朱村小学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陕西文徽煜德项目管理有限公司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铜川市耀州区小丘镇朱村小学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陕西文徽煜德项目管理有限公司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符合行业主管部门规定的标准和方法。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联系人：宋文娟</w:t>
      </w:r>
    </w:p>
    <w:p>
      <w:pPr>
        <w:pStyle w:val="null3"/>
      </w:pPr>
      <w:r>
        <w:rPr>
          <w:rFonts w:ascii="仿宋_GB2312" w:hAnsi="仿宋_GB2312" w:cs="仿宋_GB2312" w:eastAsia="仿宋_GB2312"/>
        </w:rPr>
        <w:t>联系电话：09192133888</w:t>
      </w:r>
    </w:p>
    <w:p>
      <w:pPr>
        <w:pStyle w:val="null3"/>
      </w:pPr>
      <w:r>
        <w:rPr>
          <w:rFonts w:ascii="仿宋_GB2312" w:hAnsi="仿宋_GB2312" w:cs="仿宋_GB2312" w:eastAsia="仿宋_GB2312"/>
        </w:rPr>
        <w:t>地址：铜川市新区大耀城东区一单元2702室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1,971,474.00</w:t>
      </w:r>
    </w:p>
    <w:p>
      <w:pPr>
        <w:pStyle w:val="null3"/>
      </w:pPr>
      <w:r>
        <w:rPr>
          <w:rFonts w:ascii="仿宋_GB2312" w:hAnsi="仿宋_GB2312" w:cs="仿宋_GB2312" w:eastAsia="仿宋_GB2312"/>
        </w:rPr>
        <w:t>采购包最高限价（元）: 1,971,474.00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铜川市耀州区小丘镇朱村小学教学楼、操场维修项目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1,971,474.00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标的名称：铜川市耀州区小丘镇朱村小学教学楼、操场维修项目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详见清单，内墙乳胶漆、墙板等室内装饰材料采用环保型，室外场地复合型聚氨酯合成材料等面层材料采用环保型，其余需采用环保型材料的参照关于印发环境标志产品政府采购品目清单的通知财库(2019)18号环境标志产品政府采购品目清单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1.工程建设过程中所发生的安全事故、人身财产损害或对第三方造成的财产均由成交供应商承担。 2.所有材料必须使用合格产品。 3.项目实施过程中所有破环的建筑装修装饰、元器件等均按原标准予以恢复。 4.工程完毕后需对现场进行保洁，保洁标准达到采购人需求。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（1）工程量清单详见附件，供应商应充分考虑磋商文件的各项条款和掌握的市场情况结合本想项目实际情况采取自主报价，单价包含项目名称描述的所有工作内容的一切费用。 可不按照2.4.7的第三条合同价格形式进行报价。 （2）计划工期：合同签订后45日历天 （3）质量标准：满足现行《建筑与市政工程施工质量控制通用规范》的要求，质量验收合格。 （4）工程地点：铜川市耀州区小丘镇朱村 （5）质保期：自项目竣工验收合格之日起装饰装修2年，草皮3年，其余参照国家标准或行业惯例执行.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 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供应商资格和专业要求</w:t>
            </w:r>
          </w:p>
        </w:tc>
        <w:tc>
          <w:tcPr>
            <w:tcW w:type="dxa" w:w="3322"/>
          </w:tcPr>
          <w:p>
            <w:pPr>
              <w:pStyle w:val="null3"/>
            </w:pPr>
            <w:r>
              <w:rPr>
                <w:rFonts w:ascii="仿宋_GB2312" w:hAnsi="仿宋_GB2312" w:cs="仿宋_GB2312" w:eastAsia="仿宋_GB2312"/>
              </w:rPr>
              <w:t>具备建设行政主管部门颁发的建筑工程施工总承包三级资质（含三级）或具备市政公用工程专业三级以上（含三级）且营业执照经营范围须包含装饰装修内容，并具有有效的安全生产许可证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拟派项目负责人（项目经理）资质和专业要求</w:t>
            </w:r>
          </w:p>
        </w:tc>
        <w:tc>
          <w:tcPr>
            <w:tcW w:type="dxa" w:w="3322"/>
          </w:tcPr>
          <w:p>
            <w:pPr>
              <w:pStyle w:val="null3"/>
            </w:pPr>
            <w:r>
              <w:rPr>
                <w:rFonts w:ascii="仿宋_GB2312" w:hAnsi="仿宋_GB2312" w:cs="仿宋_GB2312" w:eastAsia="仿宋_GB2312"/>
              </w:rPr>
              <w:t>具备建筑工程专业二级以上（含二级）或市政公用工程注册建造师资格证及合格的安全生产考核合格证，须在本单位注册，且无在建项目，无在建项目承诺按附件格式</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具有独立承担民事责任的能力的相关证明：：供应商为合法注册的法人或其他组织或自然人，提供营业执照（或事业法人证）；自然人提供身份证明（复印件加盖公章）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可提供2024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供应商须提供投标截止时间6个月内任意1个月的缴税证明（注：依法免税或零申报的供应商应提供相关文件证明）复印件加盖公章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供应商须提供投标截止时间6个月内任意1个月的社会保险缴纳证明（注：依法不需要缴纳社会保障资金的供应商应提供相关文件证明）复印件加盖公章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供应商应提供具有履行合同所必需的设备和专业技术能力的承诺函 格式自拟</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 格式自拟</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本项目不接受联合体投标，供应商应提供书面声明材料，格式自拟</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响应文件应按竞争性磋商文件要求电子签章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竞争性磋商文件中规定的最高限价</w:t>
            </w:r>
          </w:p>
        </w:tc>
        <w:tc>
          <w:tcPr>
            <w:tcW w:type="dxa" w:w="3322"/>
          </w:tcPr>
          <w:p>
            <w:pPr>
              <w:pStyle w:val="null3"/>
            </w:pPr>
            <w:r>
              <w:rPr>
                <w:rFonts w:ascii="仿宋_GB2312" w:hAnsi="仿宋_GB2312" w:cs="仿宋_GB2312" w:eastAsia="仿宋_GB2312"/>
              </w:rPr>
              <w:t>供应商报价不得超过竞争性磋商文件中规定的最高限价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响应文件应满足本文件第三章 磋商项目技术、服务、商务及其他要求中3.3其他要求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每轮报价只有一个报价，无选择性报价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响应文件不得含有采购人不能接受的附加条件并需满足本竞争性磋商文件中实质性要求</w:t>
            </w:r>
          </w:p>
        </w:tc>
        <w:tc>
          <w:tcPr>
            <w:tcW w:type="dxa" w:w="3322"/>
          </w:tcPr>
          <w:p>
            <w:pPr>
              <w:pStyle w:val="null3"/>
            </w:pPr>
            <w:r>
              <w:rPr>
                <w:rFonts w:ascii="仿宋_GB2312" w:hAnsi="仿宋_GB2312" w:cs="仿宋_GB2312" w:eastAsia="仿宋_GB2312"/>
              </w:rPr>
              <w:t>未含有采购人不能接受的附加条件并需满足本竞争性磋商文件中实质性要求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施工方案0-10分 由评委按情况分档赋分： 1.施工方案与技术措施具有创新性、可靠性等，思路清晰合理，有明确的工作程序，能响应磋商文件服务要求，方案内容完整条理清晰、合理，先进成熟且逐条详细说明的得（8-10]分； 2.方案内容清晰完整，条理一般，但逐条详细说明的得(5－8]分； 3.方案内容不完整，条理差，但逐条说明的得(0-5]分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确保工程质量的技术组织措施0-10分 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确保安全生产技术组织措施 0-10分。由评委按情况分档赋分：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确保文明施工的技术组织措施 0-10分。由评委按情况分档赋分：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对本项目配备人员</w:t>
            </w:r>
          </w:p>
        </w:tc>
        <w:tc>
          <w:tcPr>
            <w:tcW w:type="dxa" w:w="2492"/>
          </w:tcPr>
          <w:p>
            <w:pPr>
              <w:pStyle w:val="null3"/>
            </w:pPr>
            <w:r>
              <w:rPr>
                <w:rFonts w:ascii="仿宋_GB2312" w:hAnsi="仿宋_GB2312" w:cs="仿宋_GB2312" w:eastAsia="仿宋_GB2312"/>
              </w:rPr>
              <w:t>对本项目配备的人员团队，且设置配备合理，人员职责明确、分工安排清晰，有一定的工作经验，提供具体人员名单，包括姓名、工作职务、联系方式等相关资料进行综合评分。 ①人员团队优质，从业经验丰富、根据项目特点职能分工合理得（6-10］分； ②人员团队配置合理，从业经验较丰富、根据项目特点职能分工合理得（3-6分］； ③人员团队配置一般，经验不足，分工不合理得（0-3］分。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 0-10分。由评委按情况分档赋分： 1.措施编制合理，可行，清晰，准确完整，关键点控制措施得力，可操作性强，保证措施可靠：（8-10]分。 2.措施满足工程实施要求，措施内容详细全面，具有可行性：(5－8]分。 3.措施相对可行：(0-5]分。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施工劳动力、施工设备配备和材料投入计划</w:t>
            </w:r>
          </w:p>
        </w:tc>
        <w:tc>
          <w:tcPr>
            <w:tcW w:type="dxa" w:w="2492"/>
          </w:tcPr>
          <w:p>
            <w:pPr>
              <w:pStyle w:val="null3"/>
            </w:pPr>
            <w:r>
              <w:rPr>
                <w:rFonts w:ascii="仿宋_GB2312" w:hAnsi="仿宋_GB2312" w:cs="仿宋_GB2312" w:eastAsia="仿宋_GB2312"/>
              </w:rPr>
              <w:t>施工劳动力、施工设备配备和材料投入计划 由评委按情况赋分。保证全面完整，满足项目要求(3-5]分，较全面完整(0-3]分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提供近三年（2022年1月1日至今）类似项目业绩，响应文件中附有其业绩证明材料，业绩以中标（成交）通知书或合同加盖供应商红色公章的复印件为依据，提供1份得1分，满分4分没有不得分。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磋商报价得分=（磋商基准价/最终磋商报价）×30的公式计算得分计算分数时四舍五入取小数点后两位，。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