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878BA">
      <w:pPr>
        <w:pStyle w:val="6"/>
        <w:bidi w:val="0"/>
        <w:jc w:val="center"/>
        <w:rPr>
          <w:rFonts w:hint="eastAsia" w:ascii="宋体" w:hAnsi="宋体" w:eastAsia="宋体" w:cs="宋体"/>
        </w:rPr>
      </w:pPr>
      <w:r>
        <w:rPr>
          <w:rFonts w:hint="eastAsia" w:ascii="宋体" w:hAnsi="宋体" w:eastAsia="宋体" w:cs="宋体"/>
        </w:rPr>
        <w:t>合同格式及主要条款</w:t>
      </w:r>
    </w:p>
    <w:p w14:paraId="61D2FA7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bookmarkStart w:id="0" w:name="_Toc109543216"/>
      <w:bookmarkStart w:id="1" w:name="_Toc109542396"/>
    </w:p>
    <w:p w14:paraId="1BCF1746">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DD63C3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合同编号：</w:t>
      </w:r>
      <w:bookmarkEnd w:id="0"/>
      <w:bookmarkEnd w:id="1"/>
      <w:r>
        <w:rPr>
          <w:rFonts w:hint="eastAsia" w:ascii="宋体" w:hAnsi="宋体" w:eastAsia="宋体" w:cs="宋体"/>
          <w:b/>
          <w:bCs/>
          <w:sz w:val="32"/>
          <w:szCs w:val="32"/>
        </w:rPr>
        <w:t xml:space="preserve"> </w:t>
      </w:r>
    </w:p>
    <w:p w14:paraId="298E8CB2">
      <w:pPr>
        <w:spacing w:before="120"/>
        <w:jc w:val="center"/>
        <w:rPr>
          <w:rFonts w:hint="eastAsia" w:ascii="宋体" w:hAnsi="宋体" w:eastAsia="宋体" w:cs="宋体"/>
          <w:b/>
          <w:bCs/>
          <w:sz w:val="32"/>
          <w:szCs w:val="32"/>
        </w:rPr>
      </w:pPr>
    </w:p>
    <w:p w14:paraId="65C9039B">
      <w:pPr>
        <w:spacing w:before="120" w:line="360" w:lineRule="auto"/>
        <w:ind w:firstLine="4072" w:firstLineChars="1690"/>
        <w:rPr>
          <w:rFonts w:hint="eastAsia" w:ascii="宋体" w:hAnsi="宋体" w:eastAsia="宋体" w:cs="宋体"/>
          <w:b/>
          <w:bCs/>
          <w:sz w:val="24"/>
          <w:szCs w:val="24"/>
        </w:rPr>
      </w:pPr>
    </w:p>
    <w:p w14:paraId="3B5C205B">
      <w:pPr>
        <w:spacing w:before="120" w:line="360" w:lineRule="auto"/>
        <w:ind w:firstLine="4072" w:firstLineChars="1690"/>
        <w:rPr>
          <w:rFonts w:hint="eastAsia" w:ascii="宋体" w:hAnsi="宋体" w:eastAsia="宋体" w:cs="宋体"/>
          <w:b/>
          <w:bCs/>
          <w:sz w:val="24"/>
          <w:szCs w:val="24"/>
        </w:rPr>
      </w:pPr>
    </w:p>
    <w:p w14:paraId="61B5CED8">
      <w:pPr>
        <w:spacing w:before="120" w:line="360" w:lineRule="auto"/>
        <w:ind w:firstLine="4072" w:firstLineChars="1690"/>
        <w:rPr>
          <w:rFonts w:hint="eastAsia" w:ascii="宋体" w:hAnsi="宋体" w:eastAsia="宋体" w:cs="宋体"/>
          <w:b/>
          <w:bCs/>
          <w:sz w:val="24"/>
          <w:szCs w:val="24"/>
        </w:rPr>
      </w:pPr>
    </w:p>
    <w:p w14:paraId="7D9B86D1">
      <w:pPr>
        <w:pStyle w:val="7"/>
        <w:rPr>
          <w:rFonts w:hint="eastAsia" w:ascii="宋体" w:hAnsi="宋体" w:eastAsia="宋体" w:cs="宋体"/>
          <w:sz w:val="24"/>
          <w:szCs w:val="24"/>
          <w:u w:val="single"/>
          <w:lang w:eastAsia="zh-CN"/>
        </w:rPr>
      </w:pPr>
      <w:bookmarkStart w:id="2" w:name="_Toc7810"/>
      <w:bookmarkStart w:id="3" w:name="_Toc26357667"/>
      <w:bookmarkStart w:id="4" w:name="_Toc14017"/>
      <w:bookmarkStart w:id="5" w:name="_Toc30436"/>
      <w:bookmarkStart w:id="6" w:name="_Toc13644"/>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bookmarkEnd w:id="2"/>
      <w:bookmarkEnd w:id="3"/>
      <w:bookmarkEnd w:id="4"/>
      <w:bookmarkEnd w:id="5"/>
      <w:bookmarkEnd w:id="6"/>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A769D6A">
      <w:pPr>
        <w:pStyle w:val="7"/>
        <w:ind w:left="1446" w:hanging="1446" w:hangingChars="600"/>
        <w:rPr>
          <w:rFonts w:hint="eastAsia" w:ascii="宋体" w:hAnsi="宋体" w:eastAsia="宋体" w:cs="宋体"/>
          <w:b/>
          <w:bCs/>
          <w:color w:val="000000"/>
          <w:sz w:val="24"/>
          <w:szCs w:val="24"/>
          <w:lang w:eastAsia="zh-CN"/>
        </w:rPr>
      </w:pPr>
      <w:bookmarkStart w:id="7" w:name="_Toc20159"/>
      <w:r>
        <w:rPr>
          <w:rFonts w:hint="eastAsia" w:ascii="宋体" w:hAnsi="宋体" w:eastAsia="宋体" w:cs="宋体"/>
          <w:b/>
          <w:bCs/>
          <w:color w:val="000000"/>
          <w:sz w:val="24"/>
          <w:szCs w:val="24"/>
          <w:lang w:val="en-US" w:eastAsia="zh-CN"/>
        </w:rPr>
        <w:t>采购</w:t>
      </w:r>
      <w:r>
        <w:rPr>
          <w:rFonts w:hint="eastAsia" w:ascii="宋体" w:hAnsi="宋体" w:eastAsia="宋体" w:cs="宋体"/>
          <w:b/>
          <w:bCs/>
          <w:color w:val="000000"/>
          <w:sz w:val="24"/>
          <w:szCs w:val="24"/>
        </w:rPr>
        <w:t>人：</w:t>
      </w:r>
      <w:bookmarkEnd w:id="7"/>
      <w:r>
        <w:rPr>
          <w:rFonts w:hint="eastAsia" w:ascii="宋体" w:hAnsi="宋体" w:eastAsia="宋体" w:cs="宋体"/>
          <w:b/>
          <w:bCs/>
          <w:color w:val="000000"/>
          <w:sz w:val="24"/>
          <w:szCs w:val="24"/>
          <w:u w:val="single"/>
          <w:lang w:val="en-US" w:eastAsia="zh-CN"/>
        </w:rPr>
        <w:t xml:space="preserve">                             </w:t>
      </w:r>
    </w:p>
    <w:p w14:paraId="4E617305">
      <w:pPr>
        <w:pStyle w:val="7"/>
        <w:ind w:left="1446" w:hanging="1446" w:hangingChars="600"/>
        <w:rPr>
          <w:rFonts w:hint="eastAsia" w:ascii="宋体" w:hAnsi="宋体" w:eastAsia="宋体" w:cs="宋体"/>
          <w:b/>
          <w:kern w:val="0"/>
          <w:sz w:val="32"/>
          <w:szCs w:val="32"/>
          <w:u w:val="single"/>
        </w:rPr>
      </w:pPr>
      <w:bookmarkStart w:id="8" w:name="_Toc28647"/>
      <w:r>
        <w:rPr>
          <w:rFonts w:hint="eastAsia" w:ascii="宋体" w:hAnsi="宋体" w:eastAsia="宋体" w:cs="宋体"/>
          <w:b/>
          <w:bCs/>
          <w:color w:val="000000"/>
          <w:sz w:val="24"/>
          <w:szCs w:val="24"/>
          <w:lang w:val="en-US" w:eastAsia="zh-CN"/>
        </w:rPr>
        <w:t>供应商</w:t>
      </w:r>
      <w:bookmarkStart w:id="81" w:name="_GoBack"/>
      <w:bookmarkEnd w:id="81"/>
      <w:r>
        <w:rPr>
          <w:rFonts w:hint="eastAsia" w:ascii="宋体" w:hAnsi="宋体" w:eastAsia="宋体" w:cs="宋体"/>
          <w:b/>
          <w:bCs/>
          <w:color w:val="000000"/>
          <w:sz w:val="24"/>
          <w:szCs w:val="24"/>
        </w:rPr>
        <w:t>：</w:t>
      </w:r>
      <w:bookmarkEnd w:id="8"/>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7DF12D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6"/>
          <w:szCs w:val="36"/>
        </w:rPr>
        <w:br w:type="page"/>
      </w: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6DBD8939">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3F5CC">
      <w:pPr>
        <w:shd w:val="clear" w:color="auto" w:fill="FFFFFF"/>
        <w:spacing w:before="240" w:beforeLines="100" w:after="240" w:afterLines="100" w:line="360" w:lineRule="auto"/>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p>
    <w:p w14:paraId="660C0584">
      <w:pPr>
        <w:shd w:val="clear" w:color="auto" w:fill="FFFFFF"/>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32A0DA28">
      <w:pPr>
        <w:shd w:val="clear" w:color="auto" w:fill="FFFFFF"/>
        <w:tabs>
          <w:tab w:val="left" w:pos="425"/>
        </w:tabs>
        <w:spacing w:line="360" w:lineRule="auto"/>
        <w:textAlignment w:val="baseline"/>
        <w:outlineLvl w:val="0"/>
        <w:rPr>
          <w:rFonts w:hint="eastAsia" w:ascii="宋体" w:hAnsi="宋体" w:eastAsia="宋体" w:cs="宋体"/>
          <w:sz w:val="24"/>
          <w:szCs w:val="24"/>
        </w:rPr>
      </w:pPr>
      <w:bookmarkStart w:id="9" w:name="_Toc16613"/>
      <w:bookmarkStart w:id="10" w:name="_Toc28439"/>
      <w:bookmarkStart w:id="11" w:name="_Toc28726"/>
      <w:bookmarkStart w:id="12" w:name="_Toc495505730"/>
      <w:r>
        <w:rPr>
          <w:rFonts w:hint="eastAsia" w:ascii="宋体" w:hAnsi="宋体" w:eastAsia="宋体" w:cs="宋体"/>
          <w:b/>
          <w:bCs/>
          <w:sz w:val="24"/>
          <w:szCs w:val="24"/>
        </w:rPr>
        <w:t>一、项目范围</w:t>
      </w:r>
      <w:bookmarkEnd w:id="9"/>
      <w:bookmarkEnd w:id="10"/>
      <w:bookmarkEnd w:id="11"/>
      <w:bookmarkEnd w:id="12"/>
    </w:p>
    <w:p w14:paraId="4E089D3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13" w:name="_Toc8960"/>
      <w:bookmarkStart w:id="14" w:name="_Toc2047"/>
      <w:bookmarkStart w:id="15" w:name="_Toc495505731"/>
      <w:bookmarkStart w:id="16" w:name="_Toc5711"/>
      <w:r>
        <w:rPr>
          <w:rFonts w:hint="eastAsia" w:ascii="宋体" w:hAnsi="宋体" w:eastAsia="宋体" w:cs="宋体"/>
          <w:b/>
          <w:bCs/>
          <w:sz w:val="24"/>
          <w:szCs w:val="24"/>
        </w:rPr>
        <w:t>二、交货期及质保期</w:t>
      </w:r>
      <w:bookmarkEnd w:id="13"/>
      <w:bookmarkEnd w:id="14"/>
      <w:bookmarkEnd w:id="15"/>
      <w:bookmarkEnd w:id="16"/>
    </w:p>
    <w:p w14:paraId="1CEFEA21">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本项目交货期为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Cs/>
          <w:sz w:val="24"/>
          <w:szCs w:val="24"/>
        </w:rPr>
        <w:t>质保期</w:t>
      </w:r>
      <w:r>
        <w:rPr>
          <w:rFonts w:hint="eastAsia" w:ascii="宋体" w:hAnsi="宋体" w:eastAsia="宋体" w:cs="宋体"/>
          <w:sz w:val="24"/>
          <w:szCs w:val="24"/>
        </w:rPr>
        <w:t>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B39BC">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17" w:name="_Toc9864"/>
      <w:bookmarkStart w:id="18" w:name="_Toc495505732"/>
      <w:bookmarkStart w:id="19" w:name="_Toc25258"/>
      <w:bookmarkStart w:id="20" w:name="_Toc1906"/>
      <w:r>
        <w:rPr>
          <w:rFonts w:hint="eastAsia" w:ascii="宋体" w:hAnsi="宋体" w:eastAsia="宋体" w:cs="宋体"/>
          <w:b/>
          <w:bCs/>
          <w:sz w:val="24"/>
          <w:szCs w:val="24"/>
        </w:rPr>
        <w:t>三、合同文件及解释</w:t>
      </w:r>
      <w:bookmarkEnd w:id="17"/>
      <w:bookmarkEnd w:id="18"/>
      <w:bookmarkEnd w:id="19"/>
      <w:bookmarkEnd w:id="20"/>
    </w:p>
    <w:p w14:paraId="2710FA9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合同协议书</w:t>
      </w:r>
    </w:p>
    <w:p w14:paraId="4FA44703">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中标通知书</w:t>
      </w:r>
    </w:p>
    <w:p w14:paraId="47AF1150">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招标文件及招标补遗文件</w:t>
      </w:r>
    </w:p>
    <w:p w14:paraId="60B4937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投标函及投标函附录</w:t>
      </w:r>
    </w:p>
    <w:p w14:paraId="691976DC">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技术标准、规范。</w:t>
      </w:r>
    </w:p>
    <w:p w14:paraId="17ACC05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图纸</w:t>
      </w:r>
    </w:p>
    <w:p w14:paraId="1198DCC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其他合同文件</w:t>
      </w:r>
    </w:p>
    <w:p w14:paraId="25277E1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1" w:name="_Toc12506"/>
      <w:bookmarkStart w:id="22" w:name="_Toc495505733"/>
      <w:bookmarkStart w:id="23" w:name="_Toc16579"/>
      <w:bookmarkStart w:id="24" w:name="_Toc25364"/>
      <w:r>
        <w:rPr>
          <w:rFonts w:hint="eastAsia" w:ascii="宋体" w:hAnsi="宋体" w:eastAsia="宋体" w:cs="宋体"/>
          <w:b/>
          <w:bCs/>
          <w:sz w:val="24"/>
          <w:szCs w:val="24"/>
        </w:rPr>
        <w:t>四、合同价款、结算与支付</w:t>
      </w:r>
      <w:bookmarkEnd w:id="21"/>
      <w:bookmarkEnd w:id="22"/>
      <w:bookmarkEnd w:id="23"/>
      <w:bookmarkEnd w:id="24"/>
    </w:p>
    <w:p w14:paraId="68359C25">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1、本合同总价款</w:t>
      </w:r>
    </w:p>
    <w:p w14:paraId="2440D053">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本合同总价款为</w:t>
      </w:r>
      <w:r>
        <w:rPr>
          <w:rFonts w:hint="eastAsia" w:ascii="宋体" w:hAnsi="宋体" w:eastAsia="宋体" w:cs="宋体"/>
          <w:b/>
          <w:bCs/>
          <w:kern w:val="28"/>
          <w:sz w:val="24"/>
          <w:szCs w:val="24"/>
          <w:u w:val="single"/>
        </w:rPr>
        <w:t>RMB    元（人民币大写： 拾 万 仟 佰  拾元整  )</w:t>
      </w:r>
      <w:r>
        <w:rPr>
          <w:rFonts w:hint="eastAsia" w:ascii="宋体" w:hAnsi="宋体" w:eastAsia="宋体" w:cs="宋体"/>
          <w:kern w:val="28"/>
          <w:sz w:val="24"/>
          <w:szCs w:val="24"/>
        </w:rPr>
        <w:t>，该合同总价包括材料费、包装、运输、仓储、保管、保险、装卸（卸货至甲方指定地点）、利润、相关税费及市场价格风险在内等一切费用</w:t>
      </w:r>
      <w:r>
        <w:rPr>
          <w:rFonts w:hint="eastAsia" w:ascii="宋体" w:hAnsi="宋体" w:eastAsia="宋体" w:cs="宋体"/>
          <w:sz w:val="24"/>
          <w:szCs w:val="24"/>
        </w:rPr>
        <w:t>。</w:t>
      </w:r>
    </w:p>
    <w:tbl>
      <w:tblPr>
        <w:tblStyle w:val="8"/>
        <w:tblW w:w="93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01A5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429038B6">
            <w:pPr>
              <w:spacing w:line="440" w:lineRule="exact"/>
              <w:jc w:val="center"/>
              <w:rPr>
                <w:rFonts w:hint="eastAsia" w:ascii="宋体" w:hAnsi="宋体" w:eastAsia="宋体" w:cs="宋体"/>
              </w:rPr>
            </w:pPr>
            <w:r>
              <w:rPr>
                <w:rFonts w:hint="eastAsia" w:ascii="宋体" w:hAnsi="宋体" w:eastAsia="宋体" w:cs="宋体"/>
              </w:rPr>
              <w:t>序号</w:t>
            </w:r>
          </w:p>
        </w:tc>
        <w:tc>
          <w:tcPr>
            <w:tcW w:w="1560" w:type="dxa"/>
            <w:noWrap w:val="0"/>
            <w:vAlign w:val="center"/>
          </w:tcPr>
          <w:p w14:paraId="4F8166F7">
            <w:pPr>
              <w:spacing w:line="440" w:lineRule="exact"/>
              <w:jc w:val="center"/>
              <w:rPr>
                <w:rFonts w:hint="eastAsia" w:ascii="宋体" w:hAnsi="宋体" w:eastAsia="宋体" w:cs="宋体"/>
              </w:rPr>
            </w:pPr>
            <w:r>
              <w:rPr>
                <w:rFonts w:hint="eastAsia" w:ascii="宋体" w:hAnsi="宋体" w:eastAsia="宋体" w:cs="宋体"/>
              </w:rPr>
              <w:t>产品名称</w:t>
            </w:r>
          </w:p>
        </w:tc>
        <w:tc>
          <w:tcPr>
            <w:tcW w:w="1559" w:type="dxa"/>
            <w:noWrap w:val="0"/>
            <w:vAlign w:val="center"/>
          </w:tcPr>
          <w:p w14:paraId="47987541">
            <w:pPr>
              <w:spacing w:line="440" w:lineRule="exact"/>
              <w:jc w:val="center"/>
              <w:rPr>
                <w:rFonts w:hint="eastAsia" w:ascii="宋体" w:hAnsi="宋体" w:eastAsia="宋体" w:cs="宋体"/>
              </w:rPr>
            </w:pPr>
            <w:r>
              <w:rPr>
                <w:rFonts w:hint="eastAsia" w:ascii="宋体" w:hAnsi="宋体" w:eastAsia="宋体" w:cs="宋体"/>
              </w:rPr>
              <w:t>规格型号</w:t>
            </w:r>
          </w:p>
        </w:tc>
        <w:tc>
          <w:tcPr>
            <w:tcW w:w="1417" w:type="dxa"/>
            <w:noWrap w:val="0"/>
            <w:vAlign w:val="center"/>
          </w:tcPr>
          <w:p w14:paraId="58B5E0E6">
            <w:pPr>
              <w:spacing w:line="440" w:lineRule="exact"/>
              <w:jc w:val="center"/>
              <w:rPr>
                <w:rFonts w:hint="eastAsia" w:ascii="宋体" w:hAnsi="宋体" w:eastAsia="宋体" w:cs="宋体"/>
              </w:rPr>
            </w:pPr>
            <w:r>
              <w:rPr>
                <w:rFonts w:hint="eastAsia" w:ascii="宋体" w:hAnsi="宋体" w:eastAsia="宋体" w:cs="宋体"/>
              </w:rPr>
              <w:t>品牌、原产地</w:t>
            </w:r>
          </w:p>
        </w:tc>
        <w:tc>
          <w:tcPr>
            <w:tcW w:w="567" w:type="dxa"/>
            <w:noWrap w:val="0"/>
            <w:vAlign w:val="center"/>
          </w:tcPr>
          <w:p w14:paraId="67FDDBFC">
            <w:pPr>
              <w:spacing w:line="440" w:lineRule="exact"/>
              <w:jc w:val="center"/>
              <w:rPr>
                <w:rFonts w:hint="eastAsia" w:ascii="宋体" w:hAnsi="宋体" w:eastAsia="宋体" w:cs="宋体"/>
              </w:rPr>
            </w:pPr>
            <w:r>
              <w:rPr>
                <w:rFonts w:hint="eastAsia" w:ascii="宋体" w:hAnsi="宋体" w:eastAsia="宋体" w:cs="宋体"/>
              </w:rPr>
              <w:t>单位</w:t>
            </w:r>
          </w:p>
        </w:tc>
        <w:tc>
          <w:tcPr>
            <w:tcW w:w="709" w:type="dxa"/>
            <w:noWrap w:val="0"/>
            <w:vAlign w:val="center"/>
          </w:tcPr>
          <w:p w14:paraId="163A0393">
            <w:pPr>
              <w:spacing w:line="440" w:lineRule="exact"/>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091673D7">
            <w:pPr>
              <w:spacing w:line="440" w:lineRule="exact"/>
              <w:jc w:val="center"/>
              <w:rPr>
                <w:rFonts w:hint="eastAsia" w:ascii="宋体" w:hAnsi="宋体" w:eastAsia="宋体" w:cs="宋体"/>
              </w:rPr>
            </w:pPr>
            <w:r>
              <w:rPr>
                <w:rFonts w:hint="eastAsia" w:ascii="宋体" w:hAnsi="宋体" w:eastAsia="宋体" w:cs="宋体"/>
              </w:rPr>
              <w:t>综合单价（元）</w:t>
            </w:r>
          </w:p>
        </w:tc>
        <w:tc>
          <w:tcPr>
            <w:tcW w:w="992" w:type="dxa"/>
            <w:noWrap w:val="0"/>
            <w:vAlign w:val="center"/>
          </w:tcPr>
          <w:p w14:paraId="5BE2B848">
            <w:pPr>
              <w:spacing w:line="440" w:lineRule="exact"/>
              <w:jc w:val="center"/>
              <w:rPr>
                <w:rFonts w:hint="eastAsia" w:ascii="宋体" w:hAnsi="宋体" w:eastAsia="宋体" w:cs="宋体"/>
              </w:rPr>
            </w:pPr>
            <w:r>
              <w:rPr>
                <w:rFonts w:hint="eastAsia" w:ascii="宋体" w:hAnsi="宋体" w:eastAsia="宋体" w:cs="宋体"/>
              </w:rPr>
              <w:t>合价（元）</w:t>
            </w:r>
          </w:p>
        </w:tc>
        <w:tc>
          <w:tcPr>
            <w:tcW w:w="709" w:type="dxa"/>
            <w:noWrap w:val="0"/>
            <w:vAlign w:val="center"/>
          </w:tcPr>
          <w:p w14:paraId="05E7DD18">
            <w:pPr>
              <w:spacing w:line="440" w:lineRule="exact"/>
              <w:jc w:val="center"/>
              <w:rPr>
                <w:rFonts w:hint="eastAsia" w:ascii="宋体" w:hAnsi="宋体" w:eastAsia="宋体" w:cs="宋体"/>
              </w:rPr>
            </w:pPr>
            <w:r>
              <w:rPr>
                <w:rFonts w:hint="eastAsia" w:ascii="宋体" w:hAnsi="宋体" w:eastAsia="宋体" w:cs="宋体"/>
              </w:rPr>
              <w:t>备注</w:t>
            </w:r>
          </w:p>
        </w:tc>
      </w:tr>
      <w:tr w14:paraId="1D13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786BA119">
            <w:pPr>
              <w:spacing w:line="440" w:lineRule="exact"/>
              <w:jc w:val="center"/>
              <w:rPr>
                <w:rFonts w:hint="eastAsia" w:ascii="宋体" w:hAnsi="宋体" w:eastAsia="宋体" w:cs="宋体"/>
              </w:rPr>
            </w:pPr>
            <w:r>
              <w:rPr>
                <w:rFonts w:hint="eastAsia" w:ascii="宋体" w:hAnsi="宋体" w:eastAsia="宋体" w:cs="宋体"/>
              </w:rPr>
              <w:t>1</w:t>
            </w:r>
          </w:p>
        </w:tc>
        <w:tc>
          <w:tcPr>
            <w:tcW w:w="1560" w:type="dxa"/>
            <w:noWrap w:val="0"/>
            <w:vAlign w:val="center"/>
          </w:tcPr>
          <w:p w14:paraId="3A76B2AE">
            <w:pPr>
              <w:spacing w:line="440" w:lineRule="exact"/>
              <w:jc w:val="center"/>
              <w:rPr>
                <w:rFonts w:hint="eastAsia" w:ascii="宋体" w:hAnsi="宋体" w:eastAsia="宋体" w:cs="宋体"/>
              </w:rPr>
            </w:pPr>
          </w:p>
        </w:tc>
        <w:tc>
          <w:tcPr>
            <w:tcW w:w="1559" w:type="dxa"/>
            <w:noWrap w:val="0"/>
            <w:vAlign w:val="center"/>
          </w:tcPr>
          <w:p w14:paraId="0D68FFCD">
            <w:pPr>
              <w:spacing w:line="440" w:lineRule="exact"/>
              <w:jc w:val="center"/>
              <w:rPr>
                <w:rFonts w:hint="eastAsia" w:ascii="宋体" w:hAnsi="宋体" w:eastAsia="宋体" w:cs="宋体"/>
              </w:rPr>
            </w:pPr>
          </w:p>
        </w:tc>
        <w:tc>
          <w:tcPr>
            <w:tcW w:w="1417" w:type="dxa"/>
            <w:noWrap w:val="0"/>
            <w:vAlign w:val="center"/>
          </w:tcPr>
          <w:p w14:paraId="360365BA">
            <w:pPr>
              <w:spacing w:line="440" w:lineRule="exact"/>
              <w:jc w:val="center"/>
              <w:rPr>
                <w:rFonts w:hint="eastAsia" w:ascii="宋体" w:hAnsi="宋体" w:eastAsia="宋体" w:cs="宋体"/>
              </w:rPr>
            </w:pPr>
          </w:p>
        </w:tc>
        <w:tc>
          <w:tcPr>
            <w:tcW w:w="567" w:type="dxa"/>
            <w:noWrap w:val="0"/>
            <w:vAlign w:val="center"/>
          </w:tcPr>
          <w:p w14:paraId="22FD0CE4">
            <w:pPr>
              <w:spacing w:line="440" w:lineRule="exact"/>
              <w:ind w:left="-50" w:right="-50"/>
              <w:jc w:val="center"/>
              <w:rPr>
                <w:rFonts w:hint="eastAsia" w:ascii="宋体" w:hAnsi="宋体" w:eastAsia="宋体" w:cs="宋体"/>
              </w:rPr>
            </w:pPr>
          </w:p>
        </w:tc>
        <w:tc>
          <w:tcPr>
            <w:tcW w:w="709" w:type="dxa"/>
            <w:noWrap w:val="0"/>
            <w:vAlign w:val="center"/>
          </w:tcPr>
          <w:p w14:paraId="6404104D">
            <w:pPr>
              <w:spacing w:line="440" w:lineRule="exact"/>
              <w:ind w:left="-50" w:right="-50"/>
              <w:jc w:val="center"/>
              <w:rPr>
                <w:rFonts w:hint="eastAsia" w:ascii="宋体" w:hAnsi="宋体" w:eastAsia="宋体" w:cs="宋体"/>
              </w:rPr>
            </w:pPr>
          </w:p>
        </w:tc>
        <w:tc>
          <w:tcPr>
            <w:tcW w:w="1134" w:type="dxa"/>
            <w:noWrap w:val="0"/>
            <w:vAlign w:val="center"/>
          </w:tcPr>
          <w:p w14:paraId="68C07A0B">
            <w:pPr>
              <w:spacing w:line="440" w:lineRule="exact"/>
              <w:ind w:left="-50" w:right="-50"/>
              <w:jc w:val="center"/>
              <w:rPr>
                <w:rFonts w:hint="eastAsia" w:ascii="宋体" w:hAnsi="宋体" w:eastAsia="宋体" w:cs="宋体"/>
              </w:rPr>
            </w:pPr>
          </w:p>
        </w:tc>
        <w:tc>
          <w:tcPr>
            <w:tcW w:w="992" w:type="dxa"/>
            <w:noWrap w:val="0"/>
            <w:vAlign w:val="center"/>
          </w:tcPr>
          <w:p w14:paraId="184EC922">
            <w:pPr>
              <w:spacing w:line="440" w:lineRule="exact"/>
              <w:ind w:left="-50" w:right="-50"/>
              <w:jc w:val="center"/>
              <w:rPr>
                <w:rFonts w:hint="eastAsia" w:ascii="宋体" w:hAnsi="宋体" w:eastAsia="宋体" w:cs="宋体"/>
              </w:rPr>
            </w:pPr>
          </w:p>
        </w:tc>
        <w:tc>
          <w:tcPr>
            <w:tcW w:w="709" w:type="dxa"/>
            <w:noWrap w:val="0"/>
            <w:vAlign w:val="center"/>
          </w:tcPr>
          <w:p w14:paraId="520FB191">
            <w:pPr>
              <w:spacing w:line="440" w:lineRule="exact"/>
              <w:jc w:val="center"/>
              <w:rPr>
                <w:rFonts w:hint="eastAsia" w:ascii="宋体" w:hAnsi="宋体" w:eastAsia="宋体" w:cs="宋体"/>
              </w:rPr>
            </w:pPr>
          </w:p>
        </w:tc>
      </w:tr>
      <w:tr w14:paraId="0F8E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2E1B22">
            <w:pPr>
              <w:spacing w:line="440" w:lineRule="exact"/>
              <w:jc w:val="center"/>
              <w:rPr>
                <w:rFonts w:hint="eastAsia" w:ascii="宋体" w:hAnsi="宋体" w:eastAsia="宋体" w:cs="宋体"/>
              </w:rPr>
            </w:pPr>
            <w:r>
              <w:rPr>
                <w:rFonts w:hint="eastAsia" w:ascii="宋体" w:hAnsi="宋体" w:eastAsia="宋体" w:cs="宋体"/>
              </w:rPr>
              <w:t>2</w:t>
            </w:r>
          </w:p>
        </w:tc>
        <w:tc>
          <w:tcPr>
            <w:tcW w:w="1560" w:type="dxa"/>
            <w:noWrap w:val="0"/>
            <w:vAlign w:val="center"/>
          </w:tcPr>
          <w:p w14:paraId="2EB09C35">
            <w:pPr>
              <w:wordWrap w:val="0"/>
              <w:autoSpaceDE w:val="0"/>
              <w:autoSpaceDN w:val="0"/>
              <w:rPr>
                <w:rFonts w:hint="eastAsia" w:ascii="宋体" w:hAnsi="宋体" w:eastAsia="宋体" w:cs="宋体"/>
              </w:rPr>
            </w:pPr>
          </w:p>
        </w:tc>
        <w:tc>
          <w:tcPr>
            <w:tcW w:w="1559" w:type="dxa"/>
            <w:noWrap w:val="0"/>
            <w:vAlign w:val="center"/>
          </w:tcPr>
          <w:p w14:paraId="6C95AE77">
            <w:pPr>
              <w:wordWrap w:val="0"/>
              <w:autoSpaceDE w:val="0"/>
              <w:autoSpaceDN w:val="0"/>
              <w:rPr>
                <w:rFonts w:hint="eastAsia" w:ascii="宋体" w:hAnsi="宋体" w:eastAsia="宋体" w:cs="宋体"/>
              </w:rPr>
            </w:pPr>
          </w:p>
        </w:tc>
        <w:tc>
          <w:tcPr>
            <w:tcW w:w="1417" w:type="dxa"/>
            <w:noWrap w:val="0"/>
            <w:vAlign w:val="center"/>
          </w:tcPr>
          <w:p w14:paraId="5E5269FB">
            <w:pPr>
              <w:jc w:val="center"/>
              <w:rPr>
                <w:rFonts w:hint="eastAsia" w:ascii="宋体" w:hAnsi="宋体" w:eastAsia="宋体" w:cs="宋体"/>
              </w:rPr>
            </w:pPr>
          </w:p>
        </w:tc>
        <w:tc>
          <w:tcPr>
            <w:tcW w:w="567" w:type="dxa"/>
            <w:noWrap w:val="0"/>
            <w:vAlign w:val="center"/>
          </w:tcPr>
          <w:p w14:paraId="231F5B0A">
            <w:pPr>
              <w:ind w:left="-50" w:right="-50"/>
              <w:jc w:val="center"/>
              <w:rPr>
                <w:rFonts w:hint="eastAsia" w:ascii="宋体" w:hAnsi="宋体" w:eastAsia="宋体" w:cs="宋体"/>
              </w:rPr>
            </w:pPr>
          </w:p>
        </w:tc>
        <w:tc>
          <w:tcPr>
            <w:tcW w:w="709" w:type="dxa"/>
            <w:noWrap w:val="0"/>
            <w:vAlign w:val="center"/>
          </w:tcPr>
          <w:p w14:paraId="4F13CCB1">
            <w:pPr>
              <w:ind w:left="-50" w:right="-50"/>
              <w:jc w:val="center"/>
              <w:rPr>
                <w:rFonts w:hint="eastAsia" w:ascii="宋体" w:hAnsi="宋体" w:eastAsia="宋体" w:cs="宋体"/>
              </w:rPr>
            </w:pPr>
          </w:p>
        </w:tc>
        <w:tc>
          <w:tcPr>
            <w:tcW w:w="1134" w:type="dxa"/>
            <w:noWrap w:val="0"/>
            <w:vAlign w:val="center"/>
          </w:tcPr>
          <w:p w14:paraId="4A034E79">
            <w:pPr>
              <w:ind w:left="-50" w:right="-50"/>
              <w:jc w:val="center"/>
              <w:rPr>
                <w:rFonts w:hint="eastAsia" w:ascii="宋体" w:hAnsi="宋体" w:eastAsia="宋体" w:cs="宋体"/>
              </w:rPr>
            </w:pPr>
          </w:p>
        </w:tc>
        <w:tc>
          <w:tcPr>
            <w:tcW w:w="992" w:type="dxa"/>
            <w:noWrap w:val="0"/>
            <w:vAlign w:val="center"/>
          </w:tcPr>
          <w:p w14:paraId="442A49C3">
            <w:pPr>
              <w:ind w:left="-50" w:right="-50"/>
              <w:jc w:val="center"/>
              <w:rPr>
                <w:rFonts w:hint="eastAsia" w:ascii="宋体" w:hAnsi="宋体" w:eastAsia="宋体" w:cs="宋体"/>
              </w:rPr>
            </w:pPr>
          </w:p>
        </w:tc>
        <w:tc>
          <w:tcPr>
            <w:tcW w:w="709" w:type="dxa"/>
            <w:noWrap w:val="0"/>
            <w:vAlign w:val="center"/>
          </w:tcPr>
          <w:p w14:paraId="6B39387F">
            <w:pPr>
              <w:spacing w:line="440" w:lineRule="exact"/>
              <w:jc w:val="center"/>
              <w:rPr>
                <w:rFonts w:hint="eastAsia" w:ascii="宋体" w:hAnsi="宋体" w:eastAsia="宋体" w:cs="宋体"/>
              </w:rPr>
            </w:pPr>
          </w:p>
        </w:tc>
      </w:tr>
      <w:tr w14:paraId="1FAC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6C37CE2">
            <w:pPr>
              <w:spacing w:line="440" w:lineRule="exact"/>
              <w:jc w:val="center"/>
              <w:rPr>
                <w:rFonts w:hint="eastAsia" w:ascii="宋体" w:hAnsi="宋体" w:eastAsia="宋体" w:cs="宋体"/>
              </w:rPr>
            </w:pPr>
            <w:r>
              <w:rPr>
                <w:rFonts w:hint="eastAsia" w:ascii="宋体" w:hAnsi="宋体" w:eastAsia="宋体" w:cs="宋体"/>
              </w:rPr>
              <w:t>3</w:t>
            </w:r>
          </w:p>
        </w:tc>
        <w:tc>
          <w:tcPr>
            <w:tcW w:w="1560" w:type="dxa"/>
            <w:noWrap w:val="0"/>
            <w:vAlign w:val="center"/>
          </w:tcPr>
          <w:p w14:paraId="7C981DF6">
            <w:pPr>
              <w:wordWrap w:val="0"/>
              <w:autoSpaceDE w:val="0"/>
              <w:autoSpaceDN w:val="0"/>
              <w:rPr>
                <w:rFonts w:hint="eastAsia" w:ascii="宋体" w:hAnsi="宋体" w:eastAsia="宋体" w:cs="宋体"/>
              </w:rPr>
            </w:pPr>
          </w:p>
        </w:tc>
        <w:tc>
          <w:tcPr>
            <w:tcW w:w="1559" w:type="dxa"/>
            <w:noWrap w:val="0"/>
            <w:vAlign w:val="center"/>
          </w:tcPr>
          <w:p w14:paraId="6609966E">
            <w:pPr>
              <w:ind w:left="-50" w:right="-50"/>
              <w:jc w:val="center"/>
              <w:rPr>
                <w:rFonts w:hint="eastAsia" w:ascii="宋体" w:hAnsi="宋体" w:eastAsia="宋体" w:cs="宋体"/>
              </w:rPr>
            </w:pPr>
          </w:p>
        </w:tc>
        <w:tc>
          <w:tcPr>
            <w:tcW w:w="1417" w:type="dxa"/>
            <w:noWrap w:val="0"/>
            <w:vAlign w:val="center"/>
          </w:tcPr>
          <w:p w14:paraId="2AA1C696">
            <w:pPr>
              <w:jc w:val="center"/>
              <w:rPr>
                <w:rFonts w:hint="eastAsia" w:ascii="宋体" w:hAnsi="宋体" w:eastAsia="宋体" w:cs="宋体"/>
              </w:rPr>
            </w:pPr>
          </w:p>
        </w:tc>
        <w:tc>
          <w:tcPr>
            <w:tcW w:w="567" w:type="dxa"/>
            <w:noWrap w:val="0"/>
            <w:vAlign w:val="center"/>
          </w:tcPr>
          <w:p w14:paraId="3889261B">
            <w:pPr>
              <w:ind w:left="-50" w:right="-50"/>
              <w:jc w:val="center"/>
              <w:rPr>
                <w:rFonts w:hint="eastAsia" w:ascii="宋体" w:hAnsi="宋体" w:eastAsia="宋体" w:cs="宋体"/>
              </w:rPr>
            </w:pPr>
          </w:p>
        </w:tc>
        <w:tc>
          <w:tcPr>
            <w:tcW w:w="709" w:type="dxa"/>
            <w:noWrap w:val="0"/>
            <w:vAlign w:val="center"/>
          </w:tcPr>
          <w:p w14:paraId="635D3A10">
            <w:pPr>
              <w:ind w:left="-50" w:right="-50"/>
              <w:jc w:val="center"/>
              <w:rPr>
                <w:rFonts w:hint="eastAsia" w:ascii="宋体" w:hAnsi="宋体" w:eastAsia="宋体" w:cs="宋体"/>
              </w:rPr>
            </w:pPr>
          </w:p>
        </w:tc>
        <w:tc>
          <w:tcPr>
            <w:tcW w:w="1134" w:type="dxa"/>
            <w:noWrap w:val="0"/>
            <w:vAlign w:val="center"/>
          </w:tcPr>
          <w:p w14:paraId="111A3347">
            <w:pPr>
              <w:ind w:left="-50" w:right="-50"/>
              <w:jc w:val="center"/>
              <w:rPr>
                <w:rFonts w:hint="eastAsia" w:ascii="宋体" w:hAnsi="宋体" w:eastAsia="宋体" w:cs="宋体"/>
              </w:rPr>
            </w:pPr>
          </w:p>
        </w:tc>
        <w:tc>
          <w:tcPr>
            <w:tcW w:w="992" w:type="dxa"/>
            <w:noWrap w:val="0"/>
            <w:vAlign w:val="center"/>
          </w:tcPr>
          <w:p w14:paraId="5F55BFFA">
            <w:pPr>
              <w:ind w:left="-50" w:right="-50"/>
              <w:jc w:val="center"/>
              <w:rPr>
                <w:rFonts w:hint="eastAsia" w:ascii="宋体" w:hAnsi="宋体" w:eastAsia="宋体" w:cs="宋体"/>
              </w:rPr>
            </w:pPr>
          </w:p>
        </w:tc>
        <w:tc>
          <w:tcPr>
            <w:tcW w:w="709" w:type="dxa"/>
            <w:noWrap w:val="0"/>
            <w:vAlign w:val="center"/>
          </w:tcPr>
          <w:p w14:paraId="3C4463F6">
            <w:pPr>
              <w:spacing w:line="440" w:lineRule="exact"/>
              <w:jc w:val="center"/>
              <w:rPr>
                <w:rFonts w:hint="eastAsia" w:ascii="宋体" w:hAnsi="宋体" w:eastAsia="宋体" w:cs="宋体"/>
              </w:rPr>
            </w:pPr>
          </w:p>
        </w:tc>
      </w:tr>
      <w:tr w14:paraId="377C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FF1F60E">
            <w:pPr>
              <w:spacing w:line="440" w:lineRule="exact"/>
              <w:jc w:val="center"/>
              <w:rPr>
                <w:rFonts w:hint="eastAsia" w:ascii="宋体" w:hAnsi="宋体" w:eastAsia="宋体" w:cs="宋体"/>
              </w:rPr>
            </w:pPr>
            <w:r>
              <w:rPr>
                <w:rFonts w:hint="eastAsia" w:ascii="宋体" w:hAnsi="宋体" w:eastAsia="宋体" w:cs="宋体"/>
              </w:rPr>
              <w:t>4</w:t>
            </w:r>
          </w:p>
        </w:tc>
        <w:tc>
          <w:tcPr>
            <w:tcW w:w="1560" w:type="dxa"/>
            <w:noWrap w:val="0"/>
            <w:vAlign w:val="center"/>
          </w:tcPr>
          <w:p w14:paraId="156C689C">
            <w:pPr>
              <w:wordWrap w:val="0"/>
              <w:autoSpaceDE w:val="0"/>
              <w:autoSpaceDN w:val="0"/>
              <w:rPr>
                <w:rFonts w:hint="eastAsia" w:ascii="宋体" w:hAnsi="宋体" w:eastAsia="宋体" w:cs="宋体"/>
              </w:rPr>
            </w:pPr>
          </w:p>
        </w:tc>
        <w:tc>
          <w:tcPr>
            <w:tcW w:w="1559" w:type="dxa"/>
            <w:noWrap w:val="0"/>
            <w:vAlign w:val="center"/>
          </w:tcPr>
          <w:p w14:paraId="0F040D89">
            <w:pPr>
              <w:ind w:left="-50" w:right="-50"/>
              <w:jc w:val="center"/>
              <w:rPr>
                <w:rFonts w:hint="eastAsia" w:ascii="宋体" w:hAnsi="宋体" w:eastAsia="宋体" w:cs="宋体"/>
              </w:rPr>
            </w:pPr>
          </w:p>
        </w:tc>
        <w:tc>
          <w:tcPr>
            <w:tcW w:w="1417" w:type="dxa"/>
            <w:noWrap w:val="0"/>
            <w:vAlign w:val="center"/>
          </w:tcPr>
          <w:p w14:paraId="2028B02B">
            <w:pPr>
              <w:jc w:val="center"/>
              <w:rPr>
                <w:rFonts w:hint="eastAsia" w:ascii="宋体" w:hAnsi="宋体" w:eastAsia="宋体" w:cs="宋体"/>
              </w:rPr>
            </w:pPr>
          </w:p>
        </w:tc>
        <w:tc>
          <w:tcPr>
            <w:tcW w:w="567" w:type="dxa"/>
            <w:noWrap w:val="0"/>
            <w:vAlign w:val="center"/>
          </w:tcPr>
          <w:p w14:paraId="6DFB956B">
            <w:pPr>
              <w:ind w:left="-50" w:right="-50"/>
              <w:jc w:val="center"/>
              <w:rPr>
                <w:rFonts w:hint="eastAsia" w:ascii="宋体" w:hAnsi="宋体" w:eastAsia="宋体" w:cs="宋体"/>
              </w:rPr>
            </w:pPr>
          </w:p>
        </w:tc>
        <w:tc>
          <w:tcPr>
            <w:tcW w:w="709" w:type="dxa"/>
            <w:noWrap w:val="0"/>
            <w:vAlign w:val="center"/>
          </w:tcPr>
          <w:p w14:paraId="6DA61997">
            <w:pPr>
              <w:ind w:left="-50" w:right="-50"/>
              <w:jc w:val="center"/>
              <w:rPr>
                <w:rFonts w:hint="eastAsia" w:ascii="宋体" w:hAnsi="宋体" w:eastAsia="宋体" w:cs="宋体"/>
              </w:rPr>
            </w:pPr>
          </w:p>
        </w:tc>
        <w:tc>
          <w:tcPr>
            <w:tcW w:w="1134" w:type="dxa"/>
            <w:noWrap w:val="0"/>
            <w:vAlign w:val="center"/>
          </w:tcPr>
          <w:p w14:paraId="423116B0">
            <w:pPr>
              <w:ind w:left="-50" w:right="-50"/>
              <w:jc w:val="center"/>
              <w:rPr>
                <w:rFonts w:hint="eastAsia" w:ascii="宋体" w:hAnsi="宋体" w:eastAsia="宋体" w:cs="宋体"/>
              </w:rPr>
            </w:pPr>
          </w:p>
        </w:tc>
        <w:tc>
          <w:tcPr>
            <w:tcW w:w="992" w:type="dxa"/>
            <w:noWrap w:val="0"/>
            <w:vAlign w:val="center"/>
          </w:tcPr>
          <w:p w14:paraId="0EA74B90">
            <w:pPr>
              <w:ind w:left="-50" w:right="-50"/>
              <w:jc w:val="center"/>
              <w:rPr>
                <w:rFonts w:hint="eastAsia" w:ascii="宋体" w:hAnsi="宋体" w:eastAsia="宋体" w:cs="宋体"/>
              </w:rPr>
            </w:pPr>
          </w:p>
        </w:tc>
        <w:tc>
          <w:tcPr>
            <w:tcW w:w="709" w:type="dxa"/>
            <w:noWrap w:val="0"/>
            <w:vAlign w:val="center"/>
          </w:tcPr>
          <w:p w14:paraId="76CAC008">
            <w:pPr>
              <w:spacing w:line="440" w:lineRule="exact"/>
              <w:jc w:val="center"/>
              <w:rPr>
                <w:rFonts w:hint="eastAsia" w:ascii="宋体" w:hAnsi="宋体" w:eastAsia="宋体" w:cs="宋体"/>
              </w:rPr>
            </w:pPr>
          </w:p>
        </w:tc>
      </w:tr>
      <w:tr w14:paraId="195F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377DA3D">
            <w:pPr>
              <w:spacing w:line="440" w:lineRule="exact"/>
              <w:jc w:val="center"/>
              <w:rPr>
                <w:rFonts w:hint="eastAsia" w:ascii="宋体" w:hAnsi="宋体" w:eastAsia="宋体" w:cs="宋体"/>
              </w:rPr>
            </w:pPr>
            <w:r>
              <w:rPr>
                <w:rFonts w:hint="eastAsia" w:ascii="宋体" w:hAnsi="宋体" w:eastAsia="宋体" w:cs="宋体"/>
              </w:rPr>
              <w:t>5</w:t>
            </w:r>
          </w:p>
        </w:tc>
        <w:tc>
          <w:tcPr>
            <w:tcW w:w="1560" w:type="dxa"/>
            <w:noWrap w:val="0"/>
            <w:vAlign w:val="center"/>
          </w:tcPr>
          <w:p w14:paraId="4789777C">
            <w:pPr>
              <w:wordWrap w:val="0"/>
              <w:autoSpaceDE w:val="0"/>
              <w:autoSpaceDN w:val="0"/>
              <w:rPr>
                <w:rFonts w:hint="eastAsia" w:ascii="宋体" w:hAnsi="宋体" w:eastAsia="宋体" w:cs="宋体"/>
              </w:rPr>
            </w:pPr>
          </w:p>
        </w:tc>
        <w:tc>
          <w:tcPr>
            <w:tcW w:w="1559" w:type="dxa"/>
            <w:noWrap w:val="0"/>
            <w:vAlign w:val="center"/>
          </w:tcPr>
          <w:p w14:paraId="562323B8">
            <w:pPr>
              <w:ind w:left="-50" w:right="-50"/>
              <w:jc w:val="center"/>
              <w:rPr>
                <w:rFonts w:hint="eastAsia" w:ascii="宋体" w:hAnsi="宋体" w:eastAsia="宋体" w:cs="宋体"/>
              </w:rPr>
            </w:pPr>
          </w:p>
        </w:tc>
        <w:tc>
          <w:tcPr>
            <w:tcW w:w="1417" w:type="dxa"/>
            <w:noWrap w:val="0"/>
            <w:vAlign w:val="center"/>
          </w:tcPr>
          <w:p w14:paraId="30F699BF">
            <w:pPr>
              <w:jc w:val="center"/>
              <w:rPr>
                <w:rFonts w:hint="eastAsia" w:ascii="宋体" w:hAnsi="宋体" w:eastAsia="宋体" w:cs="宋体"/>
              </w:rPr>
            </w:pPr>
          </w:p>
        </w:tc>
        <w:tc>
          <w:tcPr>
            <w:tcW w:w="567" w:type="dxa"/>
            <w:noWrap w:val="0"/>
            <w:vAlign w:val="center"/>
          </w:tcPr>
          <w:p w14:paraId="24E5A0FA">
            <w:pPr>
              <w:ind w:left="-50" w:right="-50"/>
              <w:jc w:val="center"/>
              <w:rPr>
                <w:rFonts w:hint="eastAsia" w:ascii="宋体" w:hAnsi="宋体" w:eastAsia="宋体" w:cs="宋体"/>
              </w:rPr>
            </w:pPr>
          </w:p>
        </w:tc>
        <w:tc>
          <w:tcPr>
            <w:tcW w:w="709" w:type="dxa"/>
            <w:noWrap w:val="0"/>
            <w:vAlign w:val="center"/>
          </w:tcPr>
          <w:p w14:paraId="45E3BCCE">
            <w:pPr>
              <w:ind w:left="-50" w:right="-50"/>
              <w:jc w:val="center"/>
              <w:rPr>
                <w:rFonts w:hint="eastAsia" w:ascii="宋体" w:hAnsi="宋体" w:eastAsia="宋体" w:cs="宋体"/>
              </w:rPr>
            </w:pPr>
          </w:p>
        </w:tc>
        <w:tc>
          <w:tcPr>
            <w:tcW w:w="1134" w:type="dxa"/>
            <w:noWrap w:val="0"/>
            <w:vAlign w:val="center"/>
          </w:tcPr>
          <w:p w14:paraId="55725DA3">
            <w:pPr>
              <w:ind w:left="-50" w:right="-50"/>
              <w:jc w:val="center"/>
              <w:rPr>
                <w:rFonts w:hint="eastAsia" w:ascii="宋体" w:hAnsi="宋体" w:eastAsia="宋体" w:cs="宋体"/>
              </w:rPr>
            </w:pPr>
          </w:p>
        </w:tc>
        <w:tc>
          <w:tcPr>
            <w:tcW w:w="992" w:type="dxa"/>
            <w:noWrap w:val="0"/>
            <w:vAlign w:val="center"/>
          </w:tcPr>
          <w:p w14:paraId="318793D9">
            <w:pPr>
              <w:ind w:left="-50" w:right="-50"/>
              <w:jc w:val="center"/>
              <w:rPr>
                <w:rFonts w:hint="eastAsia" w:ascii="宋体" w:hAnsi="宋体" w:eastAsia="宋体" w:cs="宋体"/>
              </w:rPr>
            </w:pPr>
          </w:p>
        </w:tc>
        <w:tc>
          <w:tcPr>
            <w:tcW w:w="709" w:type="dxa"/>
            <w:noWrap w:val="0"/>
            <w:vAlign w:val="center"/>
          </w:tcPr>
          <w:p w14:paraId="7A0A314F">
            <w:pPr>
              <w:spacing w:line="440" w:lineRule="exact"/>
              <w:jc w:val="center"/>
              <w:rPr>
                <w:rFonts w:hint="eastAsia" w:ascii="宋体" w:hAnsi="宋体" w:eastAsia="宋体" w:cs="宋体"/>
              </w:rPr>
            </w:pPr>
          </w:p>
        </w:tc>
      </w:tr>
      <w:tr w14:paraId="023B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CF8911C">
            <w:pPr>
              <w:spacing w:line="440" w:lineRule="exac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1560" w:type="dxa"/>
            <w:noWrap w:val="0"/>
            <w:vAlign w:val="center"/>
          </w:tcPr>
          <w:p w14:paraId="4E7D1702">
            <w:pPr>
              <w:wordWrap w:val="0"/>
              <w:autoSpaceDE w:val="0"/>
              <w:autoSpaceDN w:val="0"/>
              <w:rPr>
                <w:rFonts w:hint="eastAsia" w:ascii="宋体" w:hAnsi="宋体" w:eastAsia="宋体" w:cs="宋体"/>
              </w:rPr>
            </w:pPr>
          </w:p>
        </w:tc>
        <w:tc>
          <w:tcPr>
            <w:tcW w:w="1559" w:type="dxa"/>
            <w:noWrap w:val="0"/>
            <w:vAlign w:val="center"/>
          </w:tcPr>
          <w:p w14:paraId="1604687D">
            <w:pPr>
              <w:ind w:left="-50" w:right="-50"/>
              <w:jc w:val="center"/>
              <w:rPr>
                <w:rFonts w:hint="eastAsia" w:ascii="宋体" w:hAnsi="宋体" w:eastAsia="宋体" w:cs="宋体"/>
              </w:rPr>
            </w:pPr>
          </w:p>
        </w:tc>
        <w:tc>
          <w:tcPr>
            <w:tcW w:w="1417" w:type="dxa"/>
            <w:noWrap w:val="0"/>
            <w:vAlign w:val="center"/>
          </w:tcPr>
          <w:p w14:paraId="4057BCB9">
            <w:pPr>
              <w:jc w:val="center"/>
              <w:rPr>
                <w:rFonts w:hint="eastAsia" w:ascii="宋体" w:hAnsi="宋体" w:eastAsia="宋体" w:cs="宋体"/>
              </w:rPr>
            </w:pPr>
          </w:p>
        </w:tc>
        <w:tc>
          <w:tcPr>
            <w:tcW w:w="567" w:type="dxa"/>
            <w:noWrap w:val="0"/>
            <w:vAlign w:val="center"/>
          </w:tcPr>
          <w:p w14:paraId="2BB9F7DF">
            <w:pPr>
              <w:ind w:left="-50" w:right="-50"/>
              <w:jc w:val="center"/>
              <w:rPr>
                <w:rFonts w:hint="eastAsia" w:ascii="宋体" w:hAnsi="宋体" w:eastAsia="宋体" w:cs="宋体"/>
              </w:rPr>
            </w:pPr>
          </w:p>
        </w:tc>
        <w:tc>
          <w:tcPr>
            <w:tcW w:w="709" w:type="dxa"/>
            <w:noWrap w:val="0"/>
            <w:vAlign w:val="center"/>
          </w:tcPr>
          <w:p w14:paraId="75DC2873">
            <w:pPr>
              <w:ind w:left="-50" w:right="-50"/>
              <w:jc w:val="center"/>
              <w:rPr>
                <w:rFonts w:hint="eastAsia" w:ascii="宋体" w:hAnsi="宋体" w:eastAsia="宋体" w:cs="宋体"/>
              </w:rPr>
            </w:pPr>
          </w:p>
        </w:tc>
        <w:tc>
          <w:tcPr>
            <w:tcW w:w="1134" w:type="dxa"/>
            <w:noWrap w:val="0"/>
            <w:vAlign w:val="center"/>
          </w:tcPr>
          <w:p w14:paraId="6716057C">
            <w:pPr>
              <w:ind w:left="-50" w:right="-50"/>
              <w:jc w:val="center"/>
              <w:rPr>
                <w:rFonts w:hint="eastAsia" w:ascii="宋体" w:hAnsi="宋体" w:eastAsia="宋体" w:cs="宋体"/>
              </w:rPr>
            </w:pPr>
          </w:p>
        </w:tc>
        <w:tc>
          <w:tcPr>
            <w:tcW w:w="992" w:type="dxa"/>
            <w:noWrap w:val="0"/>
            <w:vAlign w:val="center"/>
          </w:tcPr>
          <w:p w14:paraId="17D664D2">
            <w:pPr>
              <w:ind w:left="-50" w:right="-50"/>
              <w:jc w:val="center"/>
              <w:rPr>
                <w:rFonts w:hint="eastAsia" w:ascii="宋体" w:hAnsi="宋体" w:eastAsia="宋体" w:cs="宋体"/>
              </w:rPr>
            </w:pPr>
          </w:p>
        </w:tc>
        <w:tc>
          <w:tcPr>
            <w:tcW w:w="709" w:type="dxa"/>
            <w:noWrap w:val="0"/>
            <w:vAlign w:val="center"/>
          </w:tcPr>
          <w:p w14:paraId="3F3CBAD0">
            <w:pPr>
              <w:spacing w:line="440" w:lineRule="exact"/>
              <w:jc w:val="center"/>
              <w:rPr>
                <w:rFonts w:hint="eastAsia" w:ascii="宋体" w:hAnsi="宋体" w:eastAsia="宋体" w:cs="宋体"/>
              </w:rPr>
            </w:pPr>
          </w:p>
        </w:tc>
      </w:tr>
      <w:tr w14:paraId="019B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76E31191">
            <w:pPr>
              <w:spacing w:line="440" w:lineRule="exact"/>
              <w:jc w:val="center"/>
              <w:rPr>
                <w:rFonts w:hint="eastAsia" w:ascii="宋体" w:hAnsi="宋体" w:eastAsia="宋体" w:cs="宋体"/>
                <w:b/>
                <w:bCs/>
              </w:rPr>
            </w:pPr>
            <w:r>
              <w:rPr>
                <w:rFonts w:hint="eastAsia" w:ascii="宋体" w:hAnsi="宋体" w:eastAsia="宋体" w:cs="宋体"/>
                <w:b/>
                <w:bCs/>
              </w:rPr>
              <w:t>合计金额（元）</w:t>
            </w:r>
          </w:p>
        </w:tc>
        <w:tc>
          <w:tcPr>
            <w:tcW w:w="1559" w:type="dxa"/>
            <w:noWrap w:val="0"/>
            <w:vAlign w:val="center"/>
          </w:tcPr>
          <w:p w14:paraId="3A55E645">
            <w:pPr>
              <w:spacing w:line="440" w:lineRule="exact"/>
              <w:jc w:val="center"/>
              <w:rPr>
                <w:rFonts w:hint="eastAsia" w:ascii="宋体" w:hAnsi="宋体" w:eastAsia="宋体" w:cs="宋体"/>
              </w:rPr>
            </w:pPr>
            <w:r>
              <w:rPr>
                <w:rFonts w:hint="eastAsia" w:ascii="宋体" w:hAnsi="宋体" w:eastAsia="宋体" w:cs="宋体"/>
              </w:rPr>
              <w:t>大写</w:t>
            </w:r>
          </w:p>
        </w:tc>
        <w:tc>
          <w:tcPr>
            <w:tcW w:w="2693" w:type="dxa"/>
            <w:gridSpan w:val="3"/>
            <w:noWrap w:val="0"/>
            <w:vAlign w:val="center"/>
          </w:tcPr>
          <w:p w14:paraId="013B006D">
            <w:pPr>
              <w:ind w:left="-50" w:right="-50"/>
              <w:jc w:val="center"/>
              <w:rPr>
                <w:rFonts w:hint="eastAsia" w:ascii="宋体" w:hAnsi="宋体" w:eastAsia="宋体" w:cs="宋体"/>
              </w:rPr>
            </w:pPr>
          </w:p>
        </w:tc>
        <w:tc>
          <w:tcPr>
            <w:tcW w:w="1134" w:type="dxa"/>
            <w:noWrap w:val="0"/>
            <w:vAlign w:val="center"/>
          </w:tcPr>
          <w:p w14:paraId="1153D20B">
            <w:pPr>
              <w:spacing w:line="440" w:lineRule="exact"/>
              <w:jc w:val="center"/>
              <w:rPr>
                <w:rFonts w:hint="eastAsia" w:ascii="宋体" w:hAnsi="宋体" w:eastAsia="宋体" w:cs="宋体"/>
              </w:rPr>
            </w:pPr>
            <w:r>
              <w:rPr>
                <w:rFonts w:hint="eastAsia" w:ascii="宋体" w:hAnsi="宋体" w:eastAsia="宋体" w:cs="宋体"/>
              </w:rPr>
              <w:t>小写</w:t>
            </w:r>
          </w:p>
        </w:tc>
        <w:tc>
          <w:tcPr>
            <w:tcW w:w="1701" w:type="dxa"/>
            <w:gridSpan w:val="2"/>
            <w:noWrap w:val="0"/>
            <w:vAlign w:val="center"/>
          </w:tcPr>
          <w:p w14:paraId="6A3C41FC">
            <w:pPr>
              <w:ind w:left="-50" w:right="-50"/>
              <w:jc w:val="center"/>
              <w:rPr>
                <w:rFonts w:hint="eastAsia" w:ascii="宋体" w:hAnsi="宋体" w:eastAsia="宋体" w:cs="宋体"/>
              </w:rPr>
            </w:pPr>
            <w:r>
              <w:rPr>
                <w:rFonts w:hint="eastAsia" w:ascii="宋体" w:hAnsi="宋体" w:eastAsia="宋体" w:cs="宋体"/>
              </w:rPr>
              <w:t>￥ 元</w:t>
            </w:r>
          </w:p>
        </w:tc>
      </w:tr>
    </w:tbl>
    <w:p w14:paraId="2E4D5956">
      <w:pPr>
        <w:shd w:val="clear" w:color="auto" w:fill="FFFFFF"/>
        <w:spacing w:line="360" w:lineRule="auto"/>
        <w:rPr>
          <w:rFonts w:hint="eastAsia" w:ascii="宋体" w:hAnsi="宋体" w:eastAsia="宋体" w:cs="宋体"/>
          <w:kern w:val="28"/>
          <w:sz w:val="24"/>
          <w:szCs w:val="24"/>
        </w:rPr>
      </w:pPr>
    </w:p>
    <w:p w14:paraId="048F8248">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2、支付方式: 合同款支付全部通过银行转账，</w:t>
      </w:r>
    </w:p>
    <w:p w14:paraId="64AE885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名     称： </w:t>
      </w:r>
    </w:p>
    <w:p w14:paraId="540D88A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开  户 行： </w:t>
      </w:r>
    </w:p>
    <w:p w14:paraId="531F83DA">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账     号： </w:t>
      </w:r>
    </w:p>
    <w:p w14:paraId="23108D81">
      <w:pPr>
        <w:pStyle w:val="10"/>
        <w:spacing w:line="360" w:lineRule="auto"/>
        <w:ind w:right="19" w:rightChars="9" w:firstLine="0" w:firstLineChars="0"/>
        <w:rPr>
          <w:rFonts w:hint="eastAsia" w:ascii="宋体" w:hAnsi="宋体" w:eastAsia="宋体" w:cs="宋体"/>
          <w:kern w:val="28"/>
          <w:sz w:val="24"/>
          <w:szCs w:val="24"/>
        </w:rPr>
      </w:pPr>
      <w:r>
        <w:rPr>
          <w:rFonts w:hint="eastAsia" w:ascii="宋体" w:hAnsi="宋体" w:eastAsia="宋体" w:cs="宋体"/>
          <w:kern w:val="28"/>
          <w:sz w:val="24"/>
          <w:szCs w:val="24"/>
        </w:rPr>
        <w:t xml:space="preserve">2.1 </w:t>
      </w:r>
      <w:r>
        <w:rPr>
          <w:rFonts w:hint="eastAsia" w:ascii="宋体" w:hAnsi="宋体" w:cs="宋体"/>
          <w:kern w:val="28"/>
          <w:sz w:val="24"/>
          <w:szCs w:val="24"/>
          <w:lang w:val="en-US" w:eastAsia="zh-CN"/>
        </w:rPr>
        <w:t>结算</w:t>
      </w:r>
      <w:r>
        <w:rPr>
          <w:rFonts w:hint="eastAsia" w:ascii="宋体" w:hAnsi="宋体" w:eastAsia="宋体" w:cs="宋体"/>
          <w:kern w:val="28"/>
          <w:sz w:val="24"/>
          <w:szCs w:val="24"/>
        </w:rPr>
        <w:t xml:space="preserve">方式: </w:t>
      </w:r>
    </w:p>
    <w:p w14:paraId="3B57CC0D">
      <w:pPr>
        <w:spacing w:line="360" w:lineRule="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 xml:space="preserve"> 凡因乙方投标漏项、误报等导致的费用差异均由乙方自行承担，且必须按合同约定继续履行此部分合同内容，结算时不予调整。</w:t>
      </w:r>
    </w:p>
    <w:p w14:paraId="6AAD96F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5" w:name="_Toc10552"/>
      <w:bookmarkStart w:id="26" w:name="_Toc2908"/>
      <w:bookmarkStart w:id="27" w:name="_Toc8091"/>
      <w:bookmarkStart w:id="28" w:name="_Toc495505734"/>
      <w:r>
        <w:rPr>
          <w:rFonts w:hint="eastAsia" w:ascii="宋体" w:hAnsi="宋体" w:eastAsia="宋体" w:cs="宋体"/>
          <w:b/>
          <w:bCs/>
          <w:sz w:val="24"/>
          <w:szCs w:val="24"/>
        </w:rPr>
        <w:t>五、权利与义务</w:t>
      </w:r>
      <w:bookmarkEnd w:id="25"/>
      <w:bookmarkEnd w:id="26"/>
      <w:bookmarkEnd w:id="27"/>
      <w:bookmarkEnd w:id="28"/>
    </w:p>
    <w:p w14:paraId="2ADD92A0">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9" w:name="_Toc3422"/>
      <w:bookmarkStart w:id="30" w:name="_Toc495505735"/>
      <w:bookmarkStart w:id="31" w:name="_Toc12260"/>
      <w:bookmarkStart w:id="32" w:name="_Toc20499"/>
      <w:r>
        <w:rPr>
          <w:rFonts w:hint="eastAsia" w:ascii="宋体" w:hAnsi="宋体" w:eastAsia="宋体" w:cs="宋体"/>
          <w:b/>
          <w:bCs/>
          <w:sz w:val="24"/>
          <w:szCs w:val="24"/>
        </w:rPr>
        <w:t>（一）甲方的权利与义务</w:t>
      </w:r>
      <w:bookmarkEnd w:id="29"/>
      <w:bookmarkEnd w:id="30"/>
      <w:bookmarkEnd w:id="31"/>
      <w:bookmarkEnd w:id="32"/>
    </w:p>
    <w:p w14:paraId="470C0A3A">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1、甲方有权要求乙方供货的项目内容符合国家相关规范，符合国家验收标准，能够通过国家验收。</w:t>
      </w:r>
    </w:p>
    <w:p w14:paraId="7FA01704">
      <w:pPr>
        <w:shd w:val="clear" w:color="auto" w:fill="FFFFFF"/>
        <w:spacing w:line="360" w:lineRule="auto"/>
        <w:ind w:right="-147" w:rightChars="-70"/>
        <w:rPr>
          <w:rFonts w:hint="eastAsia" w:ascii="宋体" w:hAnsi="宋体" w:eastAsia="宋体" w:cs="宋体"/>
          <w:kern w:val="28"/>
          <w:sz w:val="24"/>
          <w:szCs w:val="24"/>
        </w:rPr>
      </w:pPr>
      <w:r>
        <w:rPr>
          <w:rFonts w:hint="eastAsia" w:ascii="宋体" w:hAnsi="宋体" w:eastAsia="宋体" w:cs="宋体"/>
          <w:kern w:val="28"/>
          <w:sz w:val="24"/>
          <w:szCs w:val="24"/>
        </w:rPr>
        <w:t>2、甲方有权要求乙方配合甲方完成所采购项目内容的预验收工作以及正式验收工作。</w:t>
      </w:r>
    </w:p>
    <w:p w14:paraId="19AE25F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3、甲方有权要求乙方提供的产品所涉及的第三方权利进行免责。</w:t>
      </w:r>
    </w:p>
    <w:p w14:paraId="0D1F654D">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4、甲方有义务保证按合同所规定的内容及时间支付乙方相关费用。</w:t>
      </w:r>
    </w:p>
    <w:p w14:paraId="38A688BE">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5、甲方项目负责人为</w:t>
      </w:r>
      <w:r>
        <w:rPr>
          <w:rFonts w:hint="eastAsia" w:ascii="宋体" w:hAnsi="宋体" w:eastAsia="宋体" w:cs="宋体"/>
          <w:kern w:val="28"/>
          <w:sz w:val="24"/>
          <w:szCs w:val="24"/>
          <w:u w:val="single"/>
        </w:rPr>
        <w:t xml:space="preserve">         </w:t>
      </w:r>
      <w:r>
        <w:rPr>
          <w:rFonts w:hint="eastAsia" w:ascii="宋体" w:hAnsi="宋体" w:eastAsia="宋体" w:cs="宋体"/>
          <w:kern w:val="28"/>
          <w:sz w:val="24"/>
          <w:szCs w:val="24"/>
        </w:rPr>
        <w:t>。</w:t>
      </w:r>
    </w:p>
    <w:p w14:paraId="334552D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6、协调乙方供货时与其他施工单位的关系。</w:t>
      </w:r>
    </w:p>
    <w:p w14:paraId="15DF1BF7">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7、乙方不能按甲方要求及时供货，甲方有单方解除合同的权利。解除合同的同时，甲方有权利与评标报告中排名第二的供应商签订新的供货合同。</w:t>
      </w:r>
    </w:p>
    <w:p w14:paraId="5F3D21C6">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8、因乙方原因供货延误，给甲方造成损失或被第三方要求索赔的，乙方应全额承担。</w:t>
      </w:r>
    </w:p>
    <w:p w14:paraId="051FBFD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3" w:name="_Toc1058"/>
      <w:bookmarkStart w:id="34" w:name="_Toc27467"/>
      <w:bookmarkStart w:id="35" w:name="_Toc495505736"/>
      <w:bookmarkStart w:id="36" w:name="_Toc15332"/>
      <w:r>
        <w:rPr>
          <w:rFonts w:hint="eastAsia" w:ascii="宋体" w:hAnsi="宋体" w:eastAsia="宋体" w:cs="宋体"/>
          <w:b/>
          <w:bCs/>
          <w:sz w:val="24"/>
          <w:szCs w:val="24"/>
        </w:rPr>
        <w:t>（二）乙方的权利与义务</w:t>
      </w:r>
      <w:bookmarkEnd w:id="33"/>
      <w:bookmarkEnd w:id="34"/>
      <w:bookmarkEnd w:id="35"/>
      <w:bookmarkEnd w:id="36"/>
    </w:p>
    <w:p w14:paraId="20063983">
      <w:pPr>
        <w:spacing w:line="360" w:lineRule="auto"/>
        <w:rPr>
          <w:rFonts w:hint="eastAsia" w:ascii="宋体" w:hAnsi="宋体" w:eastAsia="宋体" w:cs="宋体"/>
          <w:sz w:val="24"/>
          <w:szCs w:val="24"/>
        </w:rPr>
      </w:pPr>
      <w:r>
        <w:rPr>
          <w:rFonts w:hint="eastAsia" w:ascii="宋体" w:hAnsi="宋体" w:eastAsia="宋体" w:cs="宋体"/>
          <w:kern w:val="28"/>
          <w:sz w:val="24"/>
          <w:szCs w:val="24"/>
        </w:rPr>
        <w:t>1、乙方应</w:t>
      </w:r>
      <w:r>
        <w:rPr>
          <w:rFonts w:hint="eastAsia" w:ascii="宋体" w:hAnsi="宋体" w:eastAsia="宋体" w:cs="宋体"/>
          <w:sz w:val="24"/>
          <w:szCs w:val="24"/>
        </w:rPr>
        <w:t>按本合同的规定供货，并保证产品质量。</w:t>
      </w:r>
    </w:p>
    <w:p w14:paraId="7F26C4D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2、乙方有义务配合甲方参与项目的预验收、正式竣工验收工作，并确保所供货物符合本项目国家现行标准。</w:t>
      </w:r>
    </w:p>
    <w:p w14:paraId="53E9A061">
      <w:pPr>
        <w:shd w:val="clear" w:color="auto" w:fill="FFFFFF"/>
        <w:spacing w:line="360" w:lineRule="auto"/>
        <w:rPr>
          <w:rFonts w:hint="eastAsia" w:ascii="宋体" w:hAnsi="宋体" w:eastAsia="宋体" w:cs="宋体"/>
          <w:sz w:val="24"/>
          <w:szCs w:val="24"/>
        </w:rPr>
      </w:pPr>
      <w:r>
        <w:rPr>
          <w:rFonts w:hint="eastAsia" w:ascii="宋体" w:hAnsi="宋体" w:eastAsia="宋体" w:cs="宋体"/>
          <w:kern w:val="28"/>
          <w:sz w:val="24"/>
          <w:szCs w:val="24"/>
        </w:rPr>
        <w:t>3、乙方</w:t>
      </w:r>
      <w:r>
        <w:rPr>
          <w:rFonts w:hint="eastAsia" w:ascii="宋体" w:hAnsi="宋体" w:eastAsia="宋体" w:cs="宋体"/>
          <w:sz w:val="24"/>
          <w:szCs w:val="24"/>
        </w:rPr>
        <w:t>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72A5E7">
      <w:pPr>
        <w:pStyle w:val="11"/>
        <w:autoSpaceDN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4、乙方产品进场时应充分了解甲方的现场各项管理标准文件，并在进场后全面服从甲方的管理制度、管理细则等。</w:t>
      </w:r>
    </w:p>
    <w:p w14:paraId="6F675236">
      <w:pPr>
        <w:spacing w:line="360" w:lineRule="auto"/>
        <w:rPr>
          <w:rFonts w:hint="eastAsia" w:ascii="宋体" w:hAnsi="宋体" w:eastAsia="宋体" w:cs="宋体"/>
          <w:sz w:val="24"/>
          <w:szCs w:val="24"/>
        </w:rPr>
      </w:pPr>
      <w:r>
        <w:rPr>
          <w:rFonts w:hint="eastAsia" w:ascii="宋体" w:hAnsi="宋体" w:eastAsia="宋体" w:cs="宋体"/>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3E86DF20">
      <w:pPr>
        <w:spacing w:line="360" w:lineRule="auto"/>
        <w:rPr>
          <w:rFonts w:hint="eastAsia" w:ascii="宋体" w:hAnsi="宋体" w:eastAsia="宋体" w:cs="宋体"/>
          <w:sz w:val="24"/>
          <w:szCs w:val="24"/>
        </w:rPr>
      </w:pPr>
      <w:r>
        <w:rPr>
          <w:rFonts w:hint="eastAsia" w:ascii="宋体" w:hAnsi="宋体" w:eastAsia="宋体" w:cs="宋体"/>
          <w:sz w:val="24"/>
          <w:szCs w:val="24"/>
        </w:rPr>
        <w:t>6、按甲方指定地点将货物码放整齐，及时清运过程中产生的垃圾，保持现场整洁。</w:t>
      </w:r>
    </w:p>
    <w:p w14:paraId="2863F85F">
      <w:pPr>
        <w:spacing w:line="360" w:lineRule="auto"/>
        <w:rPr>
          <w:rFonts w:hint="eastAsia" w:ascii="宋体" w:hAnsi="宋体" w:eastAsia="宋体" w:cs="宋体"/>
          <w:sz w:val="24"/>
          <w:szCs w:val="24"/>
        </w:rPr>
      </w:pPr>
      <w:r>
        <w:rPr>
          <w:rFonts w:hint="eastAsia" w:ascii="宋体" w:hAnsi="宋体" w:eastAsia="宋体" w:cs="宋体"/>
          <w:sz w:val="24"/>
          <w:szCs w:val="24"/>
        </w:rPr>
        <w:t>7、遵守国家对施工现场交通、市容和施工噪音的管理规定。</w:t>
      </w:r>
    </w:p>
    <w:p w14:paraId="002ADDC4">
      <w:pPr>
        <w:spacing w:line="360" w:lineRule="auto"/>
        <w:rPr>
          <w:rFonts w:hint="eastAsia" w:ascii="宋体" w:hAnsi="宋体" w:eastAsia="宋体" w:cs="宋体"/>
          <w:sz w:val="24"/>
          <w:szCs w:val="24"/>
        </w:rPr>
      </w:pPr>
      <w:r>
        <w:rPr>
          <w:rFonts w:hint="eastAsia" w:ascii="宋体" w:hAnsi="宋体" w:eastAsia="宋体" w:cs="宋体"/>
          <w:sz w:val="24"/>
          <w:szCs w:val="24"/>
        </w:rPr>
        <w:t>8、在货物验收时，向买方提供《货物合格证》、《货物使用说明书》等技术文件。</w:t>
      </w:r>
    </w:p>
    <w:p w14:paraId="7D417846">
      <w:pPr>
        <w:shd w:val="clear" w:color="auto" w:fill="FFFFFF"/>
        <w:tabs>
          <w:tab w:val="left" w:pos="425"/>
        </w:tabs>
        <w:spacing w:line="360" w:lineRule="auto"/>
        <w:textAlignment w:val="baseline"/>
        <w:outlineLvl w:val="0"/>
        <w:rPr>
          <w:rFonts w:hint="eastAsia" w:ascii="宋体" w:hAnsi="宋体" w:eastAsia="宋体" w:cs="宋体"/>
        </w:rPr>
      </w:pPr>
      <w:bookmarkStart w:id="37" w:name="_Toc14206"/>
      <w:bookmarkStart w:id="38" w:name="_Toc13339"/>
      <w:bookmarkStart w:id="39" w:name="_Toc2230"/>
      <w:bookmarkStart w:id="40" w:name="_Toc495505737"/>
      <w:r>
        <w:rPr>
          <w:rFonts w:hint="eastAsia" w:ascii="宋体" w:hAnsi="宋体" w:eastAsia="宋体" w:cs="宋体"/>
          <w:b/>
          <w:bCs/>
          <w:sz w:val="24"/>
          <w:szCs w:val="24"/>
        </w:rPr>
        <w:t>六、质量要求、技术标准</w:t>
      </w:r>
      <w:bookmarkEnd w:id="37"/>
      <w:bookmarkEnd w:id="38"/>
      <w:bookmarkEnd w:id="39"/>
      <w:bookmarkEnd w:id="40"/>
    </w:p>
    <w:p w14:paraId="1A6113B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1" w:name="_Toc495505738"/>
      <w:bookmarkStart w:id="42" w:name="_Toc14187"/>
      <w:bookmarkStart w:id="43" w:name="_Toc28496"/>
      <w:bookmarkStart w:id="44" w:name="_Toc21713"/>
      <w:r>
        <w:rPr>
          <w:rFonts w:hint="eastAsia" w:ascii="宋体" w:hAnsi="宋体" w:eastAsia="宋体" w:cs="宋体"/>
          <w:b/>
          <w:bCs/>
          <w:sz w:val="24"/>
          <w:szCs w:val="24"/>
        </w:rPr>
        <w:t>七、交货要求</w:t>
      </w:r>
      <w:bookmarkEnd w:id="41"/>
      <w:bookmarkEnd w:id="42"/>
      <w:bookmarkEnd w:id="43"/>
      <w:bookmarkEnd w:id="44"/>
    </w:p>
    <w:p w14:paraId="5ED803AF">
      <w:pPr>
        <w:spacing w:line="360" w:lineRule="auto"/>
        <w:ind w:left="-8"/>
        <w:outlineLvl w:val="0"/>
        <w:rPr>
          <w:rFonts w:hint="eastAsia" w:ascii="宋体" w:hAnsi="宋体" w:eastAsia="宋体" w:cs="宋体"/>
          <w:b/>
          <w:bCs/>
          <w:sz w:val="24"/>
          <w:szCs w:val="24"/>
        </w:rPr>
      </w:pPr>
      <w:bookmarkStart w:id="45" w:name="_Toc14581"/>
      <w:bookmarkStart w:id="46" w:name="_Toc24368"/>
      <w:bookmarkStart w:id="47" w:name="_Toc495505739"/>
      <w:bookmarkStart w:id="48" w:name="_Toc12169"/>
      <w:r>
        <w:rPr>
          <w:rFonts w:hint="eastAsia" w:ascii="宋体" w:hAnsi="宋体" w:eastAsia="宋体" w:cs="宋体"/>
          <w:b/>
          <w:bCs/>
          <w:sz w:val="24"/>
          <w:szCs w:val="24"/>
        </w:rPr>
        <w:t>八、交货地点</w:t>
      </w:r>
      <w:bookmarkEnd w:id="45"/>
      <w:bookmarkEnd w:id="46"/>
      <w:bookmarkEnd w:id="47"/>
      <w:bookmarkEnd w:id="48"/>
    </w:p>
    <w:p w14:paraId="45D8A849">
      <w:pPr>
        <w:shd w:val="clear" w:color="auto" w:fill="FFFFFF"/>
        <w:tabs>
          <w:tab w:val="left" w:pos="425"/>
        </w:tabs>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具体交货及安装地点由甲方指定（乙方负责运输及装卸，运费、运杂费及保险费等其他费用已包括在合同总价内）。</w:t>
      </w:r>
    </w:p>
    <w:p w14:paraId="1091306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9" w:name="_Toc495505740"/>
      <w:bookmarkStart w:id="50" w:name="_Toc25164"/>
      <w:bookmarkStart w:id="51" w:name="_Toc7356"/>
      <w:bookmarkStart w:id="52" w:name="_Toc25284"/>
      <w:r>
        <w:rPr>
          <w:rFonts w:hint="eastAsia" w:ascii="宋体" w:hAnsi="宋体" w:eastAsia="宋体" w:cs="宋体"/>
          <w:b/>
          <w:bCs/>
          <w:sz w:val="24"/>
          <w:szCs w:val="24"/>
        </w:rPr>
        <w:t>九、货物验收</w:t>
      </w:r>
      <w:bookmarkEnd w:id="49"/>
      <w:bookmarkEnd w:id="50"/>
      <w:bookmarkEnd w:id="51"/>
      <w:bookmarkEnd w:id="52"/>
    </w:p>
    <w:p w14:paraId="20F2AF90">
      <w:pPr>
        <w:spacing w:line="360" w:lineRule="auto"/>
        <w:rPr>
          <w:rFonts w:hint="eastAsia" w:ascii="宋体" w:hAnsi="宋体" w:eastAsia="宋体" w:cs="宋体"/>
          <w:sz w:val="24"/>
          <w:szCs w:val="24"/>
        </w:rPr>
      </w:pPr>
      <w:r>
        <w:rPr>
          <w:rFonts w:hint="eastAsia" w:ascii="宋体" w:hAnsi="宋体" w:eastAsia="宋体" w:cs="宋体"/>
          <w:sz w:val="24"/>
          <w:szCs w:val="24"/>
        </w:rPr>
        <w:t>1、在发货前，乙方应对货物的质量、规格、数量等进行准确而全面的检验，并出具产品生产产地证明材料 (加盖公章)。</w:t>
      </w:r>
    </w:p>
    <w:p w14:paraId="1D4C6DD4">
      <w:pPr>
        <w:spacing w:line="360" w:lineRule="auto"/>
        <w:rPr>
          <w:rFonts w:hint="eastAsia" w:ascii="宋体" w:hAnsi="宋体" w:eastAsia="宋体" w:cs="宋体"/>
          <w:sz w:val="24"/>
          <w:szCs w:val="24"/>
        </w:rPr>
      </w:pPr>
      <w:r>
        <w:rPr>
          <w:rFonts w:hint="eastAsia" w:ascii="宋体" w:hAnsi="宋体" w:eastAsia="宋体" w:cs="宋体"/>
          <w:sz w:val="24"/>
          <w:szCs w:val="24"/>
        </w:rPr>
        <w:t>2、甲方将在供货单位交货现场组织验收，如果货物达不到国家的质量及企业标准或与投标时封存样品不符，甲方有权拒绝接收。</w:t>
      </w:r>
    </w:p>
    <w:p w14:paraId="13D9523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3" w:name="_Toc6039"/>
      <w:bookmarkStart w:id="54" w:name="_Toc11407"/>
      <w:bookmarkStart w:id="55" w:name="_Toc495505741"/>
      <w:bookmarkStart w:id="56" w:name="_Toc10128"/>
      <w:r>
        <w:rPr>
          <w:rFonts w:hint="eastAsia" w:ascii="宋体" w:hAnsi="宋体" w:eastAsia="宋体" w:cs="宋体"/>
          <w:b/>
          <w:bCs/>
          <w:sz w:val="24"/>
          <w:szCs w:val="24"/>
        </w:rPr>
        <w:t>十、保密条款</w:t>
      </w:r>
      <w:bookmarkEnd w:id="53"/>
      <w:bookmarkEnd w:id="54"/>
      <w:bookmarkEnd w:id="55"/>
      <w:bookmarkEnd w:id="56"/>
    </w:p>
    <w:p w14:paraId="3E8B252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三方承诺，除非法律另有规定或双方一致同意，任何一方不得将本协议的内容向第三方透露，否则，应向对方承担相应的违约责任。</w:t>
      </w:r>
    </w:p>
    <w:p w14:paraId="5E9449CA">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4997D5FD">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D6371D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7" w:name="_Toc10021"/>
      <w:bookmarkStart w:id="58" w:name="_Toc28760"/>
      <w:bookmarkStart w:id="59" w:name="_Toc29234"/>
      <w:bookmarkStart w:id="60" w:name="_Toc495505742"/>
      <w:r>
        <w:rPr>
          <w:rFonts w:hint="eastAsia" w:ascii="宋体" w:hAnsi="宋体" w:eastAsia="宋体" w:cs="宋体"/>
          <w:b/>
          <w:bCs/>
          <w:sz w:val="24"/>
          <w:szCs w:val="24"/>
        </w:rPr>
        <w:t>十一、违约责任</w:t>
      </w:r>
      <w:bookmarkEnd w:id="57"/>
      <w:bookmarkEnd w:id="58"/>
      <w:bookmarkEnd w:id="59"/>
      <w:bookmarkEnd w:id="60"/>
    </w:p>
    <w:p w14:paraId="335E66BA">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20A20C78">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2、甲方逾期付款，每延迟1日，应按合同总价款的1‰向乙方支付违约金，因不可抗力或经乙方同意除外。</w:t>
      </w:r>
    </w:p>
    <w:p w14:paraId="01F93660">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w:t>
      </w:r>
      <w:r>
        <w:rPr>
          <w:rFonts w:hint="eastAsia" w:ascii="宋体" w:hAnsi="宋体" w:eastAsia="宋体" w:cs="宋体"/>
          <w:sz w:val="24"/>
          <w:szCs w:val="24"/>
        </w:rPr>
        <w:t>如乙方产品质量不符合国家标准或未达到本企业内控标准，甲方有权退货，并且乙方应承担甲方合同总价款的10％的违约金并赔偿其他损失。</w:t>
      </w:r>
    </w:p>
    <w:p w14:paraId="4E123653">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4、在合同规定的供货期内乙方未如数交货，除应如数补齐外，还应承担合同总款的10％违约金。</w:t>
      </w:r>
    </w:p>
    <w:p w14:paraId="47F8BBAD">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5、保修期内因产品质量问题，乙方未按合同规定及时进行维修、更换，甲方可自行组织人员进行维修、更换，因此造成的相关责任、费用由乙方承担。</w:t>
      </w:r>
    </w:p>
    <w:p w14:paraId="7D82B965">
      <w:pPr>
        <w:spacing w:line="360" w:lineRule="auto"/>
        <w:rPr>
          <w:rFonts w:hint="eastAsia" w:ascii="宋体" w:hAnsi="宋体" w:eastAsia="宋体" w:cs="宋体"/>
          <w:sz w:val="24"/>
          <w:szCs w:val="24"/>
        </w:rPr>
      </w:pPr>
      <w:r>
        <w:rPr>
          <w:rFonts w:hint="eastAsia" w:ascii="宋体" w:hAnsi="宋体" w:eastAsia="宋体" w:cs="宋体"/>
          <w:sz w:val="24"/>
          <w:szCs w:val="24"/>
        </w:rPr>
        <w:t>6、乙方对材料不按招标文件要求，擅自更换，除恢复原招标产品外，应承担更换部分价款10%的违约金。</w:t>
      </w:r>
    </w:p>
    <w:p w14:paraId="403C8230">
      <w:pPr>
        <w:spacing w:line="360" w:lineRule="auto"/>
        <w:rPr>
          <w:rFonts w:hint="eastAsia" w:ascii="宋体" w:hAnsi="宋体" w:eastAsia="宋体" w:cs="宋体"/>
          <w:sz w:val="24"/>
          <w:szCs w:val="24"/>
        </w:rPr>
      </w:pPr>
      <w:r>
        <w:rPr>
          <w:rFonts w:hint="eastAsia" w:ascii="宋体" w:hAnsi="宋体" w:eastAsia="宋体" w:cs="宋体"/>
          <w:sz w:val="24"/>
          <w:szCs w:val="24"/>
        </w:rPr>
        <w:t>7、乙方如对材料以次充好，除全部按要求恢复外，应承担此部分价款10%的违约金。</w:t>
      </w:r>
    </w:p>
    <w:p w14:paraId="0B6C6790">
      <w:pPr>
        <w:spacing w:line="360" w:lineRule="auto"/>
        <w:rPr>
          <w:rFonts w:hint="eastAsia" w:ascii="宋体" w:hAnsi="宋体" w:eastAsia="宋体" w:cs="宋体"/>
          <w:sz w:val="24"/>
          <w:szCs w:val="24"/>
        </w:rPr>
      </w:pPr>
      <w:r>
        <w:rPr>
          <w:rFonts w:hint="eastAsia" w:ascii="宋体" w:hAnsi="宋体" w:eastAsia="宋体" w:cs="宋体"/>
          <w:sz w:val="24"/>
          <w:szCs w:val="24"/>
        </w:rPr>
        <w:t>8、如由于产品质量原因，不能通过验收，乙方除按规定无偿更换外，应承担所涉及产品总价款的10％违约金。</w:t>
      </w:r>
    </w:p>
    <w:p w14:paraId="3CE2F112">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9、乙方负责现场施工人员及其他人员安全。如因乙方原因造成人员伤亡或财产损失，由乙方负责并承担一切赔偿责任。甲方有权追究乙方的违约责任。</w:t>
      </w:r>
    </w:p>
    <w:p w14:paraId="0250366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1" w:name="_Toc495505743"/>
      <w:bookmarkStart w:id="62" w:name="_Toc26672"/>
      <w:bookmarkStart w:id="63" w:name="_Toc1947"/>
      <w:bookmarkStart w:id="64" w:name="_Toc32547"/>
      <w:r>
        <w:rPr>
          <w:rFonts w:hint="eastAsia" w:ascii="宋体" w:hAnsi="宋体" w:eastAsia="宋体" w:cs="宋体"/>
          <w:b/>
          <w:bCs/>
          <w:sz w:val="24"/>
          <w:szCs w:val="24"/>
        </w:rPr>
        <w:t>十二、争议解决</w:t>
      </w:r>
      <w:bookmarkEnd w:id="61"/>
      <w:bookmarkEnd w:id="62"/>
      <w:bookmarkEnd w:id="63"/>
      <w:bookmarkEnd w:id="64"/>
    </w:p>
    <w:p w14:paraId="2AFF352E">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szCs w:val="24"/>
        </w:rPr>
        <w:t>甲方所在地人民法院管辖。</w:t>
      </w:r>
    </w:p>
    <w:p w14:paraId="1F0DA2A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5" w:name="_Toc10393"/>
      <w:bookmarkStart w:id="66" w:name="_Toc495505744"/>
      <w:bookmarkStart w:id="67" w:name="_Toc22951"/>
      <w:bookmarkStart w:id="68" w:name="_Toc26763"/>
      <w:r>
        <w:rPr>
          <w:rFonts w:hint="eastAsia" w:ascii="宋体" w:hAnsi="宋体" w:eastAsia="宋体" w:cs="宋体"/>
          <w:b/>
          <w:bCs/>
          <w:sz w:val="24"/>
          <w:szCs w:val="24"/>
        </w:rPr>
        <w:t>十三、协议期限</w:t>
      </w:r>
      <w:bookmarkEnd w:id="65"/>
      <w:bookmarkEnd w:id="66"/>
      <w:bookmarkEnd w:id="67"/>
      <w:bookmarkEnd w:id="68"/>
    </w:p>
    <w:p w14:paraId="6D9752FB">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0"/>
          <w:sz w:val="24"/>
          <w:szCs w:val="24"/>
        </w:rPr>
        <w:t>合同经</w:t>
      </w:r>
      <w:r>
        <w:rPr>
          <w:rFonts w:hint="eastAsia" w:ascii="宋体" w:hAnsi="宋体" w:eastAsia="宋体" w:cs="宋体"/>
          <w:sz w:val="24"/>
          <w:szCs w:val="24"/>
        </w:rPr>
        <w:t>发包</w:t>
      </w:r>
      <w:r>
        <w:rPr>
          <w:rFonts w:hint="eastAsia" w:ascii="宋体" w:hAnsi="宋体" w:eastAsia="宋体" w:cs="宋体"/>
          <w:spacing w:val="10"/>
          <w:sz w:val="24"/>
          <w:szCs w:val="24"/>
        </w:rPr>
        <w:t>方、</w:t>
      </w:r>
      <w:r>
        <w:rPr>
          <w:rFonts w:hint="eastAsia" w:ascii="宋体" w:hAnsi="宋体" w:eastAsia="宋体" w:cs="宋体"/>
          <w:sz w:val="24"/>
          <w:szCs w:val="24"/>
        </w:rPr>
        <w:t>承包</w:t>
      </w:r>
      <w:r>
        <w:rPr>
          <w:rFonts w:hint="eastAsia" w:ascii="宋体" w:hAnsi="宋体" w:eastAsia="宋体" w:cs="宋体"/>
          <w:spacing w:val="10"/>
          <w:sz w:val="24"/>
          <w:szCs w:val="24"/>
        </w:rPr>
        <w:t>方和监督方三方法定代表人或者代表人签字并加盖公章(或合同章)即行生效。</w:t>
      </w:r>
    </w:p>
    <w:p w14:paraId="4B14128F">
      <w:pPr>
        <w:spacing w:line="360" w:lineRule="auto"/>
        <w:rPr>
          <w:rFonts w:hint="eastAsia" w:ascii="宋体" w:hAnsi="宋体" w:eastAsia="宋体" w:cs="宋体"/>
          <w:sz w:val="24"/>
          <w:szCs w:val="24"/>
        </w:rPr>
      </w:pPr>
      <w:r>
        <w:rPr>
          <w:rFonts w:hint="eastAsia" w:ascii="宋体" w:hAnsi="宋体" w:eastAsia="宋体" w:cs="宋体"/>
          <w:sz w:val="24"/>
          <w:szCs w:val="24"/>
        </w:rPr>
        <w:t>2、合同签订后三方即直接产生权利与义务的关系，合同执行过程中出现的问题应按照合同法等有关规定办理。</w:t>
      </w:r>
    </w:p>
    <w:p w14:paraId="16684B8F">
      <w:pPr>
        <w:spacing w:line="360" w:lineRule="auto"/>
        <w:rPr>
          <w:rFonts w:hint="eastAsia" w:ascii="宋体" w:hAnsi="宋体" w:eastAsia="宋体" w:cs="宋体"/>
          <w:sz w:val="24"/>
          <w:szCs w:val="24"/>
        </w:rPr>
      </w:pPr>
      <w:r>
        <w:rPr>
          <w:rFonts w:hint="eastAsia" w:ascii="宋体" w:hAnsi="宋体" w:eastAsia="宋体" w:cs="宋体"/>
          <w:sz w:val="24"/>
          <w:szCs w:val="24"/>
        </w:rPr>
        <w:t>3、合同在执行过程中出现的未尽事宜，三方在不违背本合同和招标文件的原则下协商解决，协商结果以“纪要”形式盖章记录在案，作为本合同的附件，与本合同具有同等效力。</w:t>
      </w:r>
    </w:p>
    <w:p w14:paraId="02FD246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9" w:name="_Toc14186"/>
      <w:bookmarkStart w:id="70" w:name="_Toc495505745"/>
      <w:bookmarkStart w:id="71" w:name="_Toc23280"/>
      <w:bookmarkStart w:id="72" w:name="_Toc26328"/>
      <w:r>
        <w:rPr>
          <w:rFonts w:hint="eastAsia" w:ascii="宋体" w:hAnsi="宋体" w:eastAsia="宋体" w:cs="宋体"/>
          <w:b/>
          <w:bCs/>
          <w:sz w:val="24"/>
          <w:szCs w:val="24"/>
        </w:rPr>
        <w:t>十四、不可抗力</w:t>
      </w:r>
      <w:bookmarkEnd w:id="69"/>
      <w:bookmarkEnd w:id="70"/>
      <w:bookmarkEnd w:id="71"/>
      <w:bookmarkEnd w:id="72"/>
    </w:p>
    <w:p w14:paraId="1FB4B3B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17AED16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E6903B">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3、如不可抗力时间延续120天以上的，各方通过协商达成在合理的时间内继续履行合同，或部分履行合同，或终止合同的履行。</w:t>
      </w:r>
    </w:p>
    <w:p w14:paraId="1CA9A5F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4、一方迟延履行后发生不可抗力的，不能免除责任。</w:t>
      </w:r>
    </w:p>
    <w:p w14:paraId="6396267D">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3" w:name="_Toc1081"/>
      <w:bookmarkStart w:id="74" w:name="_Toc11939"/>
      <w:bookmarkStart w:id="75" w:name="_Toc495505746"/>
      <w:bookmarkStart w:id="76" w:name="_Toc18101"/>
      <w:r>
        <w:rPr>
          <w:rFonts w:hint="eastAsia" w:ascii="宋体" w:hAnsi="宋体" w:eastAsia="宋体" w:cs="宋体"/>
          <w:b/>
          <w:bCs/>
          <w:sz w:val="24"/>
          <w:szCs w:val="24"/>
        </w:rPr>
        <w:t>十五、通知和合同修改</w:t>
      </w:r>
      <w:bookmarkEnd w:id="73"/>
      <w:bookmarkEnd w:id="74"/>
      <w:bookmarkEnd w:id="75"/>
      <w:bookmarkEnd w:id="76"/>
    </w:p>
    <w:p w14:paraId="5900938F">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5B725A21">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7" w:name="_Toc7297"/>
      <w:bookmarkStart w:id="78" w:name="_Toc495505747"/>
      <w:bookmarkStart w:id="79" w:name="_Toc25362"/>
      <w:bookmarkStart w:id="80" w:name="_Toc8569"/>
      <w:r>
        <w:rPr>
          <w:rFonts w:hint="eastAsia" w:ascii="宋体" w:hAnsi="宋体" w:eastAsia="宋体" w:cs="宋体"/>
          <w:b/>
          <w:bCs/>
          <w:sz w:val="24"/>
          <w:szCs w:val="24"/>
        </w:rPr>
        <w:t>十六、其他规定</w:t>
      </w:r>
      <w:bookmarkEnd w:id="77"/>
      <w:bookmarkEnd w:id="78"/>
      <w:bookmarkEnd w:id="79"/>
      <w:bookmarkEnd w:id="80"/>
    </w:p>
    <w:p w14:paraId="21BEEBD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2B3888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本合同甲、乙</w:t>
      </w:r>
      <w:r>
        <w:rPr>
          <w:rFonts w:hint="eastAsia" w:ascii="宋体" w:hAnsi="宋体" w:eastAsia="宋体" w:cs="宋体"/>
          <w:kern w:val="28"/>
          <w:sz w:val="24"/>
          <w:szCs w:val="24"/>
          <w:lang w:val="en-US" w:eastAsia="zh-CN"/>
        </w:rPr>
        <w:t>双</w:t>
      </w:r>
      <w:r>
        <w:rPr>
          <w:rFonts w:hint="eastAsia" w:ascii="宋体" w:hAnsi="宋体" w:eastAsia="宋体" w:cs="宋体"/>
          <w:kern w:val="28"/>
          <w:sz w:val="24"/>
          <w:szCs w:val="24"/>
        </w:rPr>
        <w:t>方均同意以上条款内容。</w:t>
      </w:r>
    </w:p>
    <w:p w14:paraId="38025B6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本合同正本叁份，副本陆份，具有同等效力。自三方法定代表人或授权代表人签字、并加盖单位公章之日起生效。</w:t>
      </w:r>
    </w:p>
    <w:p w14:paraId="20CA52D4">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本合同的订立、履行、变更、终止、解释等均适用中华人民共和国法律。</w:t>
      </w:r>
    </w:p>
    <w:p w14:paraId="38A827E5">
      <w:pPr>
        <w:shd w:val="clear" w:color="auto" w:fill="FFFFFF"/>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kern w:val="28"/>
          <w:sz w:val="24"/>
          <w:szCs w:val="24"/>
        </w:rPr>
        <w:t>本合同未尽事宜由双方共同协商，另行订立补充协议，补充协议与本协议具有同样的法律效力。如果本合同之附件与本合同规定不符, 以本合同规定为准。</w:t>
      </w:r>
    </w:p>
    <w:p w14:paraId="1853638E">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4A2C2EE7">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3A89177A">
      <w:pPr>
        <w:rPr>
          <w:rFonts w:hint="eastAsia" w:ascii="宋体" w:hAnsi="宋体" w:eastAsia="宋体" w:cs="宋体"/>
          <w:sz w:val="24"/>
          <w:szCs w:val="24"/>
        </w:rPr>
      </w:pPr>
    </w:p>
    <w:p w14:paraId="4AB9F1C2">
      <w:pPr>
        <w:rPr>
          <w:rFonts w:hint="eastAsia" w:ascii="宋体" w:hAnsi="宋体" w:eastAsia="宋体" w:cs="宋体"/>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r>
        <w:rPr>
          <w:rFonts w:hint="eastAsia" w:ascii="宋体" w:hAnsi="宋体" w:eastAsia="宋体" w:cs="宋体"/>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9633290"/>
    <w:rsid w:val="0BED7519"/>
    <w:rsid w:val="2361732E"/>
    <w:rsid w:val="2ECF5E05"/>
    <w:rsid w:val="3DBF5F48"/>
    <w:rsid w:val="433B69FA"/>
    <w:rsid w:val="45211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4">
    <w:name w:val="Body Text First Indent 2"/>
    <w:basedOn w:val="5"/>
    <w:next w:val="1"/>
    <w:qFormat/>
    <w:uiPriority w:val="99"/>
  </w:style>
  <w:style w:type="paragraph" w:styleId="5">
    <w:name w:val="Body Text Indent"/>
    <w:basedOn w:val="1"/>
    <w:qFormat/>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3171</Words>
  <Characters>3206</Characters>
  <Lines>0</Lines>
  <Paragraphs>0</Paragraphs>
  <TotalTime>4</TotalTime>
  <ScaleCrop>false</ScaleCrop>
  <LinksUpToDate>false</LinksUpToDate>
  <CharactersWithSpaces>3604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蜡笔小新的哆啦A梦(๑• . •๑)</cp:lastModifiedBy>
  <dcterms:modified xsi:type="dcterms:W3CDTF">2025-08-25T10:07:38Z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A0D53291D5B84365A5BC1AF33B0C17CE_13</vt:lpwstr>
  </property>
  <property fmtid="{D5CDD505-2E9C-101B-9397-08002B2CF9AE}" pid="4" name="KSOTemplateDocerSaveRecord">
    <vt:lpwstr>eyJoZGlkIjoiNmNhOWFjYzg2ODhiZTkzODdlOGM4NGZkOWYzMjJiNTYiLCJ1c2VySWQiOiIyNDc4MzYwNTIifQ==</vt:lpwstr>
  </property>
</Properties>
</file>