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版本号：ZC-HJL2025-01520250811002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耀州区联合执法大队业务用房及公安分局警体训练中心维修改造工程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ZC-HJL2025-015</w:t>
      </w:r>
      <w:r>
        <w:br/>
      </w:r>
      <w:r>
        <w:br/>
      </w:r>
      <w:r>
        <w:br/>
      </w:r>
    </w:p>
    <w:p>
      <w:pPr>
        <w:pStyle w:val="null3"/>
        <w:jc w:val="center"/>
        <w:outlineLvl w:val="2"/>
      </w:pPr>
      <w:r>
        <w:rPr>
          <w:rFonts w:ascii="仿宋_GB2312" w:hAnsi="仿宋_GB2312" w:cs="仿宋_GB2312" w:eastAsia="仿宋_GB2312"/>
          <w:sz w:val="28"/>
          <w:b/>
        </w:rPr>
        <w:t>铜川市公安局耀州分局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铜川市公安局耀州分局</w:t>
      </w:r>
      <w:r>
        <w:rPr>
          <w:rFonts w:ascii="仿宋_GB2312" w:hAnsi="仿宋_GB2312" w:cs="仿宋_GB2312" w:eastAsia="仿宋_GB2312"/>
        </w:rPr>
        <w:t>委托，拟对</w:t>
      </w:r>
      <w:r>
        <w:rPr>
          <w:rFonts w:ascii="仿宋_GB2312" w:hAnsi="仿宋_GB2312" w:cs="仿宋_GB2312" w:eastAsia="仿宋_GB2312"/>
        </w:rPr>
        <w:t>耀州区联合执法大队业务用房及公安分局警体训练中心维修改造工程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耀州区联合执法大队业务用房及公安分局警体训练中心维修改造工程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对原税务局锦阳路税务所训练场地改业务用房进行维修改造，加固维修训练场、办公楼防水、更换门窗、外墙保温。消防隐患整改、改造卫生间、重新走水电维修、院落硬化等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采购包1（耀州区联合执法大队业务用房及公安分局警体训练中心维修改造工程）：属于专门面向中小企业采购。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3、财务状况报告：提供2023或2024任一年度经审计的财务审计报告(2025年成立的公司提供成立后企业的资产负债表和利润表），或提供响应文件递交截止之日前近一年内基本存款账户开户银行开具的资信证明；</w:t>
      </w:r>
    </w:p>
    <w:p>
      <w:pPr>
        <w:pStyle w:val="null3"/>
      </w:pPr>
      <w:r>
        <w:rPr>
          <w:rFonts w:ascii="仿宋_GB2312" w:hAnsi="仿宋_GB2312" w:cs="仿宋_GB2312" w:eastAsia="仿宋_GB2312"/>
        </w:rPr>
        <w:t>4、税收缴纳证明：提供2025年01月01日至今任意一个月的缴纳税收的证明材料(依法免税的单位应提供相关证明材料)；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5、社会保障资金缴纳证明：提供2025年01月01日至今任意一个月的依法缴纳社会保障资金的证明材料（依法不需要缴纳社会保障资金的单位应提供相关证明材料）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10、企业资质：①具有建筑工程施工总承包三级及以上（含三级）资质；②并具有有效的安全生产许可证；</w:t>
      </w:r>
    </w:p>
    <w:p>
      <w:pPr>
        <w:pStyle w:val="null3"/>
      </w:pPr>
      <w:r>
        <w:rPr>
          <w:rFonts w:ascii="仿宋_GB2312" w:hAnsi="仿宋_GB2312" w:cs="仿宋_GB2312" w:eastAsia="仿宋_GB2312"/>
        </w:rPr>
        <w:t>11、拟派项目负责人资质和专业要求：拟派项目经理需具备建筑工程专业二级及以上（含二级）注册建造师资格，具备有效的安全生产考核合格证（B证）， 本单位注册，且无其他在建工程（提供无在建承诺）。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姚江锋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18992919728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采购包1：1,920,260.35元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铜川市公安局耀州分局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铜川市公安局耀州分局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铜川市公安局耀州分局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地址：陕西省铜川市大学生创业孵化园(新区铁诺北路2号)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1,920,260.35</w:t>
      </w:r>
    </w:p>
    <w:p>
      <w:pPr>
        <w:pStyle w:val="null3"/>
      </w:pPr>
      <w:r>
        <w:rPr>
          <w:rFonts w:ascii="仿宋_GB2312" w:hAnsi="仿宋_GB2312" w:cs="仿宋_GB2312" w:eastAsia="仿宋_GB2312"/>
        </w:rPr>
        <w:t>采购包最高限价（元）: 1,920,260.35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业务用房及训练中心维修改造工程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1,920,260.35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标的名称：业务用房及训练中心维修改造工程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0"/>
                <w:color w:val="000000"/>
              </w:rPr>
              <w:t>计划工期：</w:t>
            </w:r>
            <w:r>
              <w:rPr>
                <w:rFonts w:ascii="仿宋_GB2312" w:hAnsi="仿宋_GB2312" w:cs="仿宋_GB2312" w:eastAsia="仿宋_GB2312"/>
                <w:sz w:val="20"/>
                <w:color w:val="000000"/>
              </w:rPr>
              <w:t>100日历天</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0"/>
                <w:color w:val="000000"/>
              </w:rPr>
              <w:t>质量目标：</w:t>
            </w:r>
            <w:r>
              <w:rPr>
                <w:rFonts w:ascii="仿宋_GB2312" w:hAnsi="仿宋_GB2312" w:cs="仿宋_GB2312" w:eastAsia="仿宋_GB2312"/>
                <w:sz w:val="21"/>
                <w:color w:val="000000"/>
              </w:rPr>
              <w:t>符合国家及行业施工验收规范合格标准</w:t>
            </w:r>
          </w:p>
          <w:p>
            <w:pPr>
              <w:pStyle w:val="null3"/>
            </w:pPr>
            <w:r>
              <w:rPr>
                <w:rFonts w:ascii="仿宋_GB2312" w:hAnsi="仿宋_GB2312" w:cs="仿宋_GB2312" w:eastAsia="仿宋_GB2312"/>
              </w:rPr>
              <w:t>3.内容详见工程量清单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质量必须达到国家及行业现行技术规范标准，符合国家及行业施工验收规范合格标准，并满足采购人要求。（二）验收方法：（1）在竣工后，成交供应商应向采购人提交工程竣工报告，申请工程竣工验收，并将施工过程中相关资料提交采购人。（2）采购人收到工程竣工报告后，对符合竣工验收要求的工程，组织相关单位组成验收组共同验收，签署工程竣工验收意见。（3）验收合格后，采购人出具《工程竣工验收报告》 ，并在相关主管部门备案。（4）验收不合格的中标单位，必须在接到通知后7个日历日内确保工程通过验收。如接到通知后 7个日历日内验收仍不合格，采购人可提出索赔或取消其施工合同。 （三）验收依据：（1）合同文本及合同补充文件（条款） 。（2） 磋商文件。（3） 响应文件。（4）工程量清单。（5）施工质量验收标准。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质量保修期：按《建设工程质量管理条例》有关规定执行。质量保修期自工程竣工验收合格之日起计算。若供应商承诺质保期限超过磋商文件要求，按其承诺执行。 保修范围：承包人在质量保修期内，按照有关法律规定和合同约定，承担工程质量保修责任。 违约责任与解决争议的方法：若成交供应商未按合同要求提供工程质量或工程质量不能满足技术要求，采购人有权终止合同，并对供方违约行为进行追究，同时按《中华人民共和国民法典》、《中华人民共和国政府采购法》及其实施条例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①具有建筑工程施工总承包三级及以上（含三级）资质；②并具有有效的安全生产许可证；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拟派项目经理需具备建筑工程专业二级及以上（含二级）注册建造师资格，具备有效的安全生产考核合格证（B证）， 本单位注册，且无其他在建工程（提供无在建承诺）。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响应文件的签署及格式</w:t>
            </w:r>
          </w:p>
        </w:tc>
        <w:tc>
          <w:tcPr>
            <w:tcW w:type="dxa" w:w="3322"/>
          </w:tcPr>
          <w:p>
            <w:pPr>
              <w:pStyle w:val="null3"/>
            </w:pPr>
            <w:r>
              <w:rPr>
                <w:rFonts w:ascii="仿宋_GB2312" w:hAnsi="仿宋_GB2312" w:cs="仿宋_GB2312" w:eastAsia="仿宋_GB2312"/>
              </w:rPr>
              <w:t>响应文件的签署及格式：磋商文件要求必须响应的 内容齐全，有格式要求的应符合格式要求；要求签字或盖章的，按文件规定签字或盖章齐全；</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 预算和最高限价。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磋商有效期：应满足磋商文件中的规定；</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工期和工程质量：</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文明施工和环境保护的技术组织措施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由评委按情况赋分。保证全面完整，满足项目要求(3-5]分，较全面完整(0-3]分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提供近三年（2022年1月1日至今）类似项目业绩，响应文件中附有其业绩证明材料，业绩以中标（成交）通知书或合同加盖供应商红色公章的复印件为依据，提供一个计1分，满分5分。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评标基准价，其价格分为满分。其他供应商的价格分统一按照下列公式计算：报价得分=（评标基准价/最后磋商报价）×价格权值（即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