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版本号：YCRH-2025-0818.1B120250910001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铜川市耀州区殡葬服务设施布局专项规划项目(二次)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YCRH-2025-0818.1B1</w:t>
      </w:r>
      <w:r>
        <w:br/>
      </w:r>
      <w:r>
        <w:br/>
      </w:r>
      <w:r>
        <w:br/>
      </w:r>
    </w:p>
    <w:p>
      <w:pPr>
        <w:pStyle w:val="null3"/>
        <w:jc w:val="center"/>
        <w:outlineLvl w:val="2"/>
      </w:pPr>
      <w:r>
        <w:rPr>
          <w:rFonts w:ascii="仿宋_GB2312" w:hAnsi="仿宋_GB2312" w:cs="仿宋_GB2312" w:eastAsia="仿宋_GB2312"/>
          <w:sz w:val="28"/>
          <w:b/>
        </w:rPr>
        <w:t>铜川市耀州区民政局</w:t>
      </w:r>
    </w:p>
    <w:p>
      <w:pPr>
        <w:pStyle w:val="null3"/>
        <w:jc w:val="center"/>
        <w:outlineLvl w:val="2"/>
      </w:pPr>
      <w:r>
        <w:rPr>
          <w:rFonts w:ascii="仿宋_GB2312" w:hAnsi="仿宋_GB2312" w:cs="仿宋_GB2312" w:eastAsia="仿宋_GB2312"/>
          <w:sz w:val="28"/>
          <w:b/>
        </w:rPr>
        <w:t>铜川耀城任禾项目管理有限公司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铜川耀城任禾项目管理有限公司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铜川市耀州区民政局</w:t>
      </w:r>
      <w:r>
        <w:rPr>
          <w:rFonts w:ascii="仿宋_GB2312" w:hAnsi="仿宋_GB2312" w:cs="仿宋_GB2312" w:eastAsia="仿宋_GB2312"/>
        </w:rPr>
        <w:t>委托，拟对</w:t>
      </w:r>
      <w:r>
        <w:rPr>
          <w:rFonts w:ascii="仿宋_GB2312" w:hAnsi="仿宋_GB2312" w:cs="仿宋_GB2312" w:eastAsia="仿宋_GB2312"/>
        </w:rPr>
        <w:t>铜川市耀州区殡葬服务设施布局专项规划项目(二次)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YCRH-2025-0818.1B1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铜川市耀州区殡葬服务设施布局专项规划项目(二次)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铜川市耀州区殡葬服务设施布局专项规划。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采购包1（铜川市耀州区殡葬服务设施布局专项规划项目）：属于专门面向中小企业采购。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p>
      <w:pPr>
        <w:pStyle w:val="null3"/>
      </w:pPr>
      <w:r>
        <w:rPr>
          <w:rFonts w:ascii="仿宋_GB2312" w:hAnsi="仿宋_GB2312" w:cs="仿宋_GB2312" w:eastAsia="仿宋_GB2312"/>
        </w:rPr>
        <w:t>3、财务状况报告：提供具有财务审计资质的单位出具经审计的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4、税收缴纳证明：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p>
      <w:pPr>
        <w:pStyle w:val="null3"/>
      </w:pPr>
      <w:r>
        <w:rPr>
          <w:rFonts w:ascii="仿宋_GB2312" w:hAnsi="仿宋_GB2312" w:cs="仿宋_GB2312" w:eastAsia="仿宋_GB2312"/>
        </w:rPr>
        <w:t>5、社会保障资金缴纳证明：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p>
      <w:pPr>
        <w:pStyle w:val="null3"/>
      </w:pPr>
      <w:r>
        <w:rPr>
          <w:rFonts w:ascii="仿宋_GB2312" w:hAnsi="仿宋_GB2312" w:cs="仿宋_GB2312" w:eastAsia="仿宋_GB2312"/>
        </w:rPr>
        <w:t>6、没有重大违法记录的书面声明：提供参加政府采购活动前3年内在经营活动中没有重大违法记录的书面声明。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7、信用记录：供应商不得被“信用中国”网站（www.creditchina.gov.cn）列入失信被执行人和重大税收违法案件当事人名单人，不得被“中国政府采购网”（www.ccgp.gov.cn）列入政府采购严重违法失信行为记录名单。</w:t>
      </w:r>
    </w:p>
    <w:p>
      <w:pPr>
        <w:pStyle w:val="null3"/>
      </w:pPr>
      <w:r>
        <w:rPr>
          <w:rFonts w:ascii="仿宋_GB2312" w:hAnsi="仿宋_GB2312" w:cs="仿宋_GB2312" w:eastAsia="仿宋_GB2312"/>
        </w:rPr>
        <w:t>8、履行合同所必需的设备和专业技术能力的书面声明：提供履行合同所必需的设备和专业技术能力的书面声明。</w:t>
      </w:r>
    </w:p>
    <w:p>
      <w:pPr>
        <w:pStyle w:val="null3"/>
      </w:pPr>
      <w:r>
        <w:rPr>
          <w:rFonts w:ascii="仿宋_GB2312" w:hAnsi="仿宋_GB2312" w:cs="仿宋_GB2312" w:eastAsia="仿宋_GB2312"/>
        </w:rPr>
        <w:t>9、与其他投标人不存在单位负责人为同一人，且不存在直接控股、管理关系：若与其他供应商存在单位负责人为同一人或者存在直接控股、管理关系的，则投标无效。</w:t>
      </w:r>
    </w:p>
    <w:p>
      <w:pPr>
        <w:pStyle w:val="null3"/>
      </w:pPr>
      <w:r>
        <w:rPr>
          <w:rFonts w:ascii="仿宋_GB2312" w:hAnsi="仿宋_GB2312" w:cs="仿宋_GB2312" w:eastAsia="仿宋_GB2312"/>
        </w:rPr>
        <w:t>10、企业资质要求：供应商须具备城乡规划编制乙级及以上资质。</w:t>
      </w:r>
    </w:p>
    <w:p>
      <w:pPr>
        <w:pStyle w:val="null3"/>
      </w:pPr>
      <w:r>
        <w:rPr>
          <w:rFonts w:ascii="仿宋_GB2312" w:hAnsi="仿宋_GB2312" w:cs="仿宋_GB2312" w:eastAsia="仿宋_GB2312"/>
        </w:rPr>
        <w:t>11、本采购包专门面向中小企业采购：本采购包专门面向中小企业采购，参与的供应商全部为符合政策要求的中小企业。（监狱企业、残疾人福利性单位视同小型、微型企业）。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程粉粉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13571583236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铜川耀城任禾项目管理有限公司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陕西省铜川市耀州区天宝路街道办事处天宝滩社区锦阳路北段西侧转角楼二层门面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0919-6600459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代理服务费收费标准：采购代理服务费用以中标价（成交价）为计算基础，按照国家计委颁发的《招标代理服务收费暂行办法》（计价格【2002】1980号）、发改价格【2011】534号文的收费标准计取。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铜川市耀州区民政局</w:t>
      </w:r>
      <w:r>
        <w:rPr>
          <w:rFonts w:ascii="仿宋_GB2312" w:hAnsi="仿宋_GB2312" w:cs="仿宋_GB2312" w:eastAsia="仿宋_GB2312"/>
        </w:rPr>
        <w:t>和</w:t>
      </w:r>
      <w:r>
        <w:rPr>
          <w:rFonts w:ascii="仿宋_GB2312" w:hAnsi="仿宋_GB2312" w:cs="仿宋_GB2312" w:eastAsia="仿宋_GB2312"/>
        </w:rPr>
        <w:t>铜川耀城任禾项目管理有限公司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铜川耀城任禾项目管理有限公司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铜川耀城任禾项目管理有限公司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联系电话：0919-6600459</w:t>
      </w:r>
    </w:p>
    <w:p>
      <w:pPr>
        <w:pStyle w:val="null3"/>
      </w:pPr>
      <w:r>
        <w:rPr>
          <w:rFonts w:ascii="仿宋_GB2312" w:hAnsi="仿宋_GB2312" w:cs="仿宋_GB2312" w:eastAsia="仿宋_GB2312"/>
        </w:rPr>
        <w:t>地址：陕西省铜川市耀州区华原路与锦阳路交叉口（柳公权中学对面、光明眼镜行隔壁）</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铜川市耀州区殡葬服务设施布局专项规划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铜川市耀州区殡葬服务设施布局专项规划项目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标的名称：铜川市耀州区殡葬服务设施布局专项规划项目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总体要求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)规划对象</w:t>
            </w:r>
          </w:p>
          <w:p>
            <w:pPr>
              <w:pStyle w:val="null3"/>
              <w:ind w:firstLine="420"/>
              <w:jc w:val="both"/>
            </w:pPr>
            <w:r>
              <w:rPr>
                <w:rFonts w:ascii="仿宋_GB2312" w:hAnsi="仿宋_GB2312" w:cs="仿宋_GB2312" w:eastAsia="仿宋_GB2312"/>
                <w:sz w:val="21"/>
              </w:rPr>
              <w:t>本次规划对象涵盖全区范围内的殡仪馆、殡仪服务站、城市公益性公墓、农村公益性公墓等各类殡葬服务设施。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)规划目标</w:t>
            </w:r>
          </w:p>
          <w:p>
            <w:pPr>
              <w:pStyle w:val="null3"/>
              <w:ind w:firstLine="420"/>
              <w:jc w:val="both"/>
            </w:pPr>
            <w:r>
              <w:rPr>
                <w:rFonts w:ascii="仿宋_GB2312" w:hAnsi="仿宋_GB2312" w:cs="仿宋_GB2312" w:eastAsia="仿宋_GB2312"/>
                <w:sz w:val="21"/>
              </w:rPr>
              <w:t>1.构建惠民保障体系健全、土地利用生态集约、文化内涵健康与“生态宜居城市”相适宜的现代殡葬体系。</w:t>
            </w:r>
          </w:p>
          <w:p>
            <w:pPr>
              <w:pStyle w:val="null3"/>
              <w:ind w:firstLine="420"/>
              <w:jc w:val="both"/>
            </w:pPr>
            <w:r>
              <w:rPr>
                <w:rFonts w:ascii="仿宋_GB2312" w:hAnsi="仿宋_GB2312" w:cs="仿宋_GB2312" w:eastAsia="仿宋_GB2312"/>
                <w:sz w:val="21"/>
              </w:rPr>
              <w:t>2.城区殡仪馆建设达到设施现代化、环境优质化、管理现代化、服务人性化。</w:t>
            </w:r>
          </w:p>
          <w:p>
            <w:pPr>
              <w:pStyle w:val="null3"/>
              <w:ind w:firstLine="420"/>
              <w:jc w:val="both"/>
            </w:pPr>
            <w:r>
              <w:rPr>
                <w:rFonts w:ascii="仿宋_GB2312" w:hAnsi="仿宋_GB2312" w:cs="仿宋_GB2312" w:eastAsia="仿宋_GB2312"/>
                <w:sz w:val="21"/>
              </w:rPr>
              <w:t>3.建立完善的城镇殡仪服务网络，满足城镇居民文明治丧的需求，殡仪服务水平全面提高，实现低碳殡葬、人文殡葬、绿色殡葬。</w:t>
            </w:r>
          </w:p>
          <w:p>
            <w:pPr>
              <w:pStyle w:val="null3"/>
              <w:ind w:firstLine="420"/>
              <w:jc w:val="both"/>
            </w:pPr>
            <w:r>
              <w:rPr>
                <w:rFonts w:ascii="仿宋_GB2312" w:hAnsi="仿宋_GB2312" w:cs="仿宋_GB2312" w:eastAsia="仿宋_GB2312"/>
                <w:sz w:val="21"/>
              </w:rPr>
              <w:t>4.骨灰安放集中至公墓，逐渐实现立体、生态安葬，全区无非法公墓和散埋乱葬现象，尽量达到少占地或不占地的目标。</w:t>
            </w:r>
          </w:p>
          <w:p>
            <w:pPr>
              <w:pStyle w:val="null3"/>
              <w:ind w:firstLine="420"/>
              <w:jc w:val="both"/>
            </w:pPr>
            <w:r>
              <w:rPr>
                <w:rFonts w:ascii="仿宋_GB2312" w:hAnsi="仿宋_GB2312" w:cs="仿宋_GB2312" w:eastAsia="仿宋_GB2312"/>
                <w:sz w:val="21"/>
              </w:rPr>
              <w:t>5.建立殡葬管理长效机制，实现民政与其他相关部门协同监管，完善区一镇(街)一村(社区)三级殡葬管理体系，深入落实殡葬相关政策法规，形成规范的殡葬管理体系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二、规划布局</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)殡仪服务设施</w:t>
            </w:r>
          </w:p>
          <w:p>
            <w:pPr>
              <w:pStyle w:val="null3"/>
              <w:ind w:firstLine="420"/>
              <w:jc w:val="both"/>
            </w:pPr>
            <w:r>
              <w:rPr>
                <w:rFonts w:ascii="仿宋_GB2312" w:hAnsi="仿宋_GB2312" w:cs="仿宋_GB2312" w:eastAsia="仿宋_GB2312"/>
                <w:sz w:val="21"/>
              </w:rPr>
              <w:t>1.耀州区殡仪馆:选址耀州区正阳路街道平都村，提供遗体接运、火化、告别等一站式服务，年处理能力5000具;</w:t>
            </w:r>
          </w:p>
          <w:p>
            <w:pPr>
              <w:pStyle w:val="null3"/>
              <w:ind w:firstLine="420"/>
              <w:jc w:val="both"/>
            </w:pPr>
            <w:r>
              <w:rPr>
                <w:rFonts w:ascii="仿宋_GB2312" w:hAnsi="仿宋_GB2312" w:cs="仿宋_GB2312" w:eastAsia="仿宋_GB2312"/>
                <w:sz w:val="21"/>
              </w:rPr>
              <w:t>2.镇级殡仪服务站:在全区11个镇(街道)各设1处，提供灵堂搭建、遗体暂放及瞻仰、告别仪式、物品存放、接待慰问等相关治丧活动。</w:t>
            </w:r>
          </w:p>
          <w:p>
            <w:pPr>
              <w:pStyle w:val="null3"/>
              <w:ind w:firstLine="420"/>
              <w:jc w:val="both"/>
            </w:pPr>
            <w:r>
              <w:rPr>
                <w:rFonts w:ascii="仿宋_GB2312" w:hAnsi="仿宋_GB2312" w:cs="仿宋_GB2312" w:eastAsia="仿宋_GB2312"/>
                <w:sz w:val="21"/>
              </w:rPr>
              <w:t>(二)安葬设施</w:t>
            </w:r>
          </w:p>
          <w:p>
            <w:pPr>
              <w:pStyle w:val="null3"/>
              <w:ind w:firstLine="420"/>
              <w:jc w:val="both"/>
            </w:pPr>
            <w:r>
              <w:rPr>
                <w:rFonts w:ascii="仿宋_GB2312" w:hAnsi="仿宋_GB2312" w:cs="仿宋_GB2312" w:eastAsia="仿宋_GB2312"/>
                <w:sz w:val="21"/>
              </w:rPr>
              <w:t>1.耀州区城市公益性公墓:选址耀州区正阳路街道平都村设置骨灰安置区、办公区、停车区等，骨灰安置区包括墓葬区、格位安放区、生态葬区和祭祀区等;</w:t>
            </w:r>
          </w:p>
          <w:p>
            <w:pPr>
              <w:pStyle w:val="null3"/>
              <w:ind w:firstLine="420"/>
              <w:jc w:val="both"/>
            </w:pPr>
            <w:r>
              <w:rPr>
                <w:rFonts w:ascii="仿宋_GB2312" w:hAnsi="仿宋_GB2312" w:cs="仿宋_GB2312" w:eastAsia="仿宋_GB2312"/>
                <w:sz w:val="21"/>
              </w:rPr>
              <w:t>2.农村公益性公墓:按照一村一公墓(可根据自然村分布设立若干个安葬点)、“镇(街道)村共建”或“多村联建”模式布局，优先利用荒山瘠地、非耕地。</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1）根据采购人提供的有关资料和上级部门的相关要求，依照有关法规和规范等要求，按双方拟定的进度，按时、保质、保量提供相关数据及文件资料。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供应商负责项目工作会议涉及项目方案的汇报工作，负责提供会议汇报材料、成果等。在项目工作过程和成果报审过程中与采购人密切配合，做好成果的修改完善。协助配合采购人组织项目成果评审和报审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3）在服务期间，若省、市出台其他规定，应以省、市其他规定为准，如遇上级政策调整，应按上级新的时间要求和新的编制规程及政策要求,对所做成果进行调整和完善，并满足采购人对本项目的使用。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4）供应商应保护采购人的知识产权。未经采购人同意，不得向第三方转让采购人提供的有关图纸等技术经济资料。如发生以上情况并给采购人造成损失，采购人有权提出索赔。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5）供应商应积极配合采购人处理在项目实施过程中遇到的专业性问题。非因成果质量问题需要到场服务的，可与采购人另行商议有偿服务费用。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）专项规划需要达到国家有关技术标准、规范的规定，质量合格。要全面落实</w:t>
            </w:r>
            <w:r>
              <w:rPr>
                <w:rFonts w:ascii="仿宋_GB2312" w:hAnsi="仿宋_GB2312" w:cs="仿宋_GB2312" w:eastAsia="仿宋_GB2312"/>
                <w:sz w:val="21"/>
              </w:rPr>
              <w:t>铜川</w:t>
            </w:r>
            <w:r>
              <w:rPr>
                <w:rFonts w:ascii="仿宋_GB2312" w:hAnsi="仿宋_GB2312" w:cs="仿宋_GB2312" w:eastAsia="仿宋_GB2312"/>
                <w:sz w:val="21"/>
              </w:rPr>
              <w:t>市国土空间总体规划确定的管控内容，不得违背总体规划确定的空间战略、总体目标、约束性指标等强制性内容，专项规划文本中应包含涉及空间开发保护与利用的专门篇章，以及与涉及国土空间规划衔接情况的专门说明，规划要通过有关部门组织审核或批复，并与国土空间规划和</w:t>
            </w:r>
            <w:r>
              <w:rPr>
                <w:rFonts w:ascii="仿宋_GB2312" w:hAnsi="仿宋_GB2312" w:cs="仿宋_GB2312" w:eastAsia="仿宋_GB2312"/>
                <w:sz w:val="21"/>
              </w:rPr>
              <w:t>“一张图”衔接。</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、预期成果</w:t>
            </w:r>
          </w:p>
          <w:p>
            <w:pPr>
              <w:pStyle w:val="null3"/>
              <w:ind w:firstLine="420"/>
              <w:jc w:val="both"/>
            </w:pPr>
            <w:r>
              <w:rPr>
                <w:rFonts w:ascii="仿宋_GB2312" w:hAnsi="仿宋_GB2312" w:cs="仿宋_GB2312" w:eastAsia="仿宋_GB2312"/>
                <w:sz w:val="21"/>
              </w:rPr>
              <w:t>（一）总报告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铜川市耀州区殡葬服务设施布局专项规划</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（二）其他成果</w:t>
            </w:r>
          </w:p>
          <w:p>
            <w:pPr>
              <w:pStyle w:val="null3"/>
              <w:ind w:firstLine="420"/>
              <w:jc w:val="both"/>
            </w:pPr>
            <w:r>
              <w:rPr>
                <w:rFonts w:ascii="仿宋_GB2312" w:hAnsi="仿宋_GB2312" w:cs="仿宋_GB2312" w:eastAsia="仿宋_GB2312"/>
                <w:sz w:val="21"/>
              </w:rPr>
              <w:t>形成规划项目库和相关图册</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、提交主要成果</w:t>
            </w:r>
          </w:p>
          <w:p>
            <w:pPr>
              <w:pStyle w:val="null3"/>
              <w:ind w:firstLine="420"/>
              <w:jc w:val="both"/>
            </w:pPr>
            <w:r>
              <w:rPr>
                <w:rFonts w:ascii="仿宋_GB2312" w:hAnsi="仿宋_GB2312" w:cs="仿宋_GB2312" w:eastAsia="仿宋_GB2312"/>
                <w:sz w:val="21"/>
              </w:rPr>
              <w:t>规划成果报告：</w:t>
            </w:r>
            <w:r>
              <w:rPr>
                <w:rFonts w:ascii="仿宋_GB2312" w:hAnsi="仿宋_GB2312" w:cs="仿宋_GB2312" w:eastAsia="仿宋_GB2312"/>
                <w:sz w:val="21"/>
              </w:rPr>
              <w:t>6</w:t>
            </w:r>
            <w:r>
              <w:rPr>
                <w:rFonts w:ascii="仿宋_GB2312" w:hAnsi="仿宋_GB2312" w:cs="仿宋_GB2312" w:eastAsia="仿宋_GB2312"/>
                <w:sz w:val="21"/>
              </w:rPr>
              <w:t>套；电子版</w:t>
            </w:r>
            <w:r>
              <w:rPr>
                <w:rFonts w:ascii="仿宋_GB2312" w:hAnsi="仿宋_GB2312" w:cs="仿宋_GB2312" w:eastAsia="仿宋_GB2312"/>
                <w:sz w:val="21"/>
              </w:rPr>
              <w:t>U盘资料：1套。</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合同签订后，乙方应开具增值税发票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2、线下递交文件截止时间：详见本项目采购公告（即响应文件提交截止时间）； 3、线下递交文件地点：陕西省铜川市耀州区华原路与锦阳路交叉口（柳公权中学对面、光明眼镜行隔壁） 铜川耀城任禾项目管理有限公司。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具有财务审计资质的单位出具经审计的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tc>
        <w:tc>
          <w:tcPr>
            <w:tcW w:type="dxa" w:w="1661"/>
          </w:tcPr>
          <w:p>
            <w:pPr>
              <w:pStyle w:val="null3"/>
            </w:pPr>
            <w:r>
              <w:rPr>
                <w:rFonts w:ascii="仿宋_GB2312" w:hAnsi="仿宋_GB2312" w:cs="仿宋_GB2312" w:eastAsia="仿宋_GB2312"/>
              </w:rPr>
              <w:t>法定代表人证明书及法定代表人授权委托书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的单位出具经审计的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供应商不得被“信用中国”网站（www.creditchina.gov.cn）列入失信被执行人和重大税收违法案件当事人名单人，不得被“中国政府采购网”（www.ccgp.gov.cn）列入政府采购严重违法失信行为记录名单。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提供履行合同所必需的设备和专业技术能力的书面声明。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与其他投标人不存在单位负责人为同一人，且不存在直接控股、管理关系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供应商须具备城乡规划编制乙级及以上资质。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本采购包专门面向中小企业采购，参与的供应商全部为符合政策要求的中小企业。（监狱企业、残疾人福利性单位视同小型、微型企业）。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报价表 响应文件封面 项目业绩 法定代表人证明书及法定代表人授权委托书 残疾人福利性单位声明函 详细评审 符合政府采购政策的承诺书 标的清单 响应函 供应商资格证明文件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按磋商文件要求相应位置加盖公章，法定代表人或其授权代表人的签字齐全并加盖公章；（2）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响应文件封面 项目业绩 法定代表人证明书及法定代表人授权委托书 残疾人福利性单位声明函 详细评审 符合政府采购政策的承诺书 标的清单 响应函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响应文件内容：要求必须响应的内容齐全、无遗漏</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响应文件封面 项目业绩 法定代表人证明书及法定代表人授权委托书 残疾人福利性单位声明函 详细评审 符合政府采购政策的承诺书 标的清单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响应文件的响应程度审查</w:t>
            </w:r>
          </w:p>
        </w:tc>
        <w:tc>
          <w:tcPr>
            <w:tcW w:type="dxa" w:w="3322"/>
          </w:tcPr>
          <w:p>
            <w:pPr>
              <w:pStyle w:val="null3"/>
            </w:pPr>
            <w:r>
              <w:rPr>
                <w:rFonts w:ascii="仿宋_GB2312" w:hAnsi="仿宋_GB2312" w:cs="仿宋_GB2312" w:eastAsia="仿宋_GB2312"/>
              </w:rPr>
              <w:t>（1）响应文件响应程度：要求全面响应，不能有任何采购人不能接受的附加条件；（2）拟提供的服务要求：应满足磋商文件提出的技术和服务要求。（3）响应有效期：应满足磋商文件中的规定；（4）合同履行期限：应满足磋商文件中的规定</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响应文件封面 项目业绩 法定代表人证明书及法定代表人授权委托书 残疾人福利性单位声明函 详细评审 符合政府采购政策的承诺书 标的清单 响应函 供应商资格证明文件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供应商针对本项目特点制定总体服务方案，包括但不限于①对项目实施背景、工作目标和需求分析的理解；②实施方案：总体规划编制框架，思路清晰，点面结合；能围绕主要方向制定重点任务建设目标等。 二、评审标准： 1.完整性：内容全面，对评审内容中的各项要求有详细描述；2.可实施性：切合本项目实际情况，实施步骤清晰、合理；3.针对性：方案能够紧扣项目实际情况，内容科学合理。 三、赋分标准：（满分18分） ①对项目实施背景、工作目标和需求分析的理解：此评审项满分9分，每完全满足一条评审标准得3分；针对每条评审标准，如存在不合理的方面，扣1.5分；针对每条评审标准，方案内容与本项目无关或未提供的，得0分。 ②实施方案：此评审项满分9分，每完全满足一条评审标准得3分；针对每条评审标准，如存在不合理的方面，扣1.5分；针对每条评审标准，方案内容与本项目无关或未提供的，得0分。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项目进度计划安排</w:t>
            </w:r>
          </w:p>
        </w:tc>
        <w:tc>
          <w:tcPr>
            <w:tcW w:type="dxa" w:w="2492"/>
          </w:tcPr>
          <w:p>
            <w:pPr>
              <w:pStyle w:val="null3"/>
            </w:pPr>
            <w:r>
              <w:rPr>
                <w:rFonts w:ascii="仿宋_GB2312" w:hAnsi="仿宋_GB2312" w:cs="仿宋_GB2312" w:eastAsia="仿宋_GB2312"/>
              </w:rPr>
              <w:t>一、评审内容： 供应商根据本项目服务内容及要求编制进度计划安排，包括但不限于①各阶段时间节点②进度保障措施③临时调整措施及应急处理能力等，根据是否能够按照采购人的要求在规定时间内完成编制成果的修改、调整、优化工作方案等进行评审。 二、评审标准： 1.完整性：内容全面，对评审内容中的各项要求有详细描述；2.可实施性：切合本项目实际情况，实施步骤清晰、合理；3.针对性：方案能够紧扣项目实际情况，内容科学合理。 三、赋分标准：（满分9分） ①各阶段时间节点：此评审项满分3分，每完全满足一条评审标准得1分；针对每条评审标准，如存在不合理的方面，扣0.5分；针对每条评审标准，方案内容与本项目无关或未提供的，得0分。 ②进度保障措施：此评审项满分3分，每完全满足一条评审标准得1分；针对每条评审标准，如存在不合理的方面，扣0.5分；针对每条评审标准，方案内容与本项目无关或未提供的，得0分。 ③临时调整措施及应急处理能力：此评审项满分3分，每完全满足一条评审标准得1分；针对每条评审标准，如存在不合理的方面，扣0.5分；针对每条评审标准，方案内容与本项目无关或未提供的，得0分。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供应商根据本项目特点编制保密措施方案，有相应的保障细则，内容包含：①保密承诺事项②保密实施方案③保密工作规则要求等。 二、评审标准： 1.完整性：内容全面，对评审内容中的各项要求有详细描述；2.可实施性：切合本项目实际情况，实施步骤清晰、合理；3.针对性：方案能够紧扣项目实际情况，内容科学合理。 三、赋分标准：（满分9分） ①保密承诺事项:此评审项满分3分，每完全满足一条评审标准得1分；针对每条评审标准，如存在不合理的方面，扣0.5分；针对每条评审标准，方案内容与本项目无关或未提供的，得0分。 ②保密实施方案:此评审项满分3分，每完全满足一条评审标准得1分；针对每条评审标准，如存在不合理的方面，扣0.5分；针对每条评审标准，方案内容与本项目无关或未提供的，得0分。 ③保密工作规则要求:此评审项满分3分，每完全满足一条评审标准得1分；针对每条评审标准，如存在不合理的方面，扣0.5分；针对每条评审标准，方案内容与本项目无关或未提供的，得0分。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一、评审内容：供应商针对本项目提供服务承诺，包括但不限于①对本项目进度、时限、成果文件质量等做出承诺。②对服务时限内团队稳定性、人员到位情况等相关内容做出承诺。 二、评审标准：1.完整性：内容全面，对评审内容中的各项要求有详细描述；2.可实施性：切合本项目实际情况，提出步骤清晰、合理的方案；3.针对性：方案能够紧扣项目实际情况，内容科学合理。 三、赋分标准：（满分12分） ①对本项目进度、时限、成果文件质量等做出承诺：此评审项满分6分，每完全满足一条评审标准得2分；针对每条评审标准，如存在不合理的方面扣1分；针对每条评审标准，方案内容与本项目无关或未提供的，得0分。 ②对服务时限内团队稳定性、人员到位情况等相关内容做出承诺：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根据本项目服务内容及要求编制服务质量保障措施：有规范的、合理的服务流程，每个流程环节有质量控制办法，对项目执行过程中的服务质量、技术保证、沟通途径有明确说明。供应商切合实际，能充分利用自身资源及相关技术手段保证成果质量要求。 二、评审标准： 1.完整性：内容全面，对评审内容中的各项要求有详细描述；2.可实施性：切合本项目实际情况，实施步骤清晰、合理；3.针对性：方案能够紧扣项目实际情况，内容科学合理。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一、评审内容： 供应商应充分结合项目特点对本项目的重点、难点进行分析，并且能够提出解决对策。 二、评审标准： 1.完整性：内容全面，对评审内容中的各项要求有详细描述；2.可实施性：切合本项目实际情况，实施步骤清晰、合理；3.针对性：方案能够紧扣项目实际情况，内容科学合理。 三、赋分标准：（满分9分） 此评审项满分9分，每完全满足一条评审标准得3分；针对每条评审标准，如存在不合理的方面，扣1.5分；针对每条评审标准，方案内容与本项目无关或未提供的，得0分。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一、评审内容：供应商针对本项目有专业的服务团队，包括但不限于①项目负责人②技术服务人员等。 二、赋分标准：（满分8分） ①项目负责人（2分）：拟投入本项目负责人具有注册城乡规划师职业资格证书或城乡规划类高级职称（含正高/副高）得2分，不符合要求不得分。（注：提供相关证书复印件并加盖公章，否则不予计分） ②技术服务人员（6分）：拟投入本项目技术服务人员（项目负责人除外），具有城乡规划相关专业中级及以上职称，每人得1分，最多得6分。（注：提供相关证书复印件并加盖公章，否则不予计分）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一、评审内容：提供供应商2022年1月1日至今类似项目的业绩证明（时间以合同签订时间为准）。 二、赋分标准：（满分6分） 一个业绩得2分，最高6分。供应商需提供完整的业绩合同复印件并加盖公章，未按照要求提供不得分。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低最后磋商报价为磋商基准价，其磋商报价为满分。供应商的价格分，统一按照下列公式计算：磋商报价得分=(磋商基准价／最后磋商报价)×100×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详见附件：法定代表人证明书及法定代表人授权委托书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详见附件：技术、商务偏离表</w:t>
      </w:r>
    </w:p>
    <w:p>
      <w:pPr>
        <w:pStyle w:val="null3"/>
        <w:ind w:firstLine="960"/>
      </w:pPr>
      <w:r>
        <w:rPr>
          <w:rFonts w:ascii="仿宋_GB2312" w:hAnsi="仿宋_GB2312" w:cs="仿宋_GB2312" w:eastAsia="仿宋_GB2312"/>
        </w:rPr>
        <w:t>详见附件：详细评审</w:t>
      </w:r>
    </w:p>
    <w:p>
      <w:pPr>
        <w:pStyle w:val="null3"/>
        <w:ind w:firstLine="960"/>
      </w:pPr>
      <w:r>
        <w:rPr>
          <w:rFonts w:ascii="仿宋_GB2312" w:hAnsi="仿宋_GB2312" w:cs="仿宋_GB2312" w:eastAsia="仿宋_GB2312"/>
        </w:rPr>
        <w:t>详见附件：项目业绩</w:t>
      </w:r>
    </w:p>
    <w:p>
      <w:pPr>
        <w:pStyle w:val="null3"/>
        <w:ind w:firstLine="960"/>
      </w:pPr>
      <w:r>
        <w:rPr>
          <w:rFonts w:ascii="仿宋_GB2312" w:hAnsi="仿宋_GB2312" w:cs="仿宋_GB2312" w:eastAsia="仿宋_GB2312"/>
        </w:rPr>
        <w:t>详见附件：符合政府采购政策的承诺书</w:t>
      </w:r>
    </w:p>
    <w:p>
      <w:pPr>
        <w:pStyle w:val="null3"/>
        <w:ind w:firstLine="960"/>
      </w:pPr>
      <w:r>
        <w:rPr>
          <w:rFonts w:ascii="仿宋_GB2312" w:hAnsi="仿宋_GB2312" w:cs="仿宋_GB2312" w:eastAsia="仿宋_GB2312"/>
        </w:rPr>
        <w:t>详见附件：其他投标人认为需要提供的资料</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