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版本号：YJZB-2025-090920250924001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区人民医院关于采购医院餐厅外包服务项目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YJZB-2025-0909</w:t>
      </w:r>
      <w:r>
        <w:br/>
      </w:r>
      <w:r>
        <w:br/>
      </w:r>
      <w:r>
        <w:br/>
      </w:r>
    </w:p>
    <w:p>
      <w:pPr>
        <w:pStyle w:val="null3"/>
        <w:jc w:val="center"/>
        <w:outlineLvl w:val="2"/>
      </w:pPr>
      <w:r>
        <w:rPr>
          <w:rFonts w:ascii="仿宋_GB2312" w:hAnsi="仿宋_GB2312" w:cs="仿宋_GB2312" w:eastAsia="仿宋_GB2312"/>
          <w:sz w:val="28"/>
          <w:b/>
        </w:rPr>
        <w:t>铜川市耀州区人民医院</w:t>
      </w:r>
    </w:p>
    <w:p>
      <w:pPr>
        <w:pStyle w:val="null3"/>
        <w:jc w:val="center"/>
        <w:outlineLvl w:val="2"/>
      </w:pPr>
      <w:r>
        <w:rPr>
          <w:rFonts w:ascii="仿宋_GB2312" w:hAnsi="仿宋_GB2312" w:cs="仿宋_GB2312" w:eastAsia="仿宋_GB2312"/>
          <w:sz w:val="28"/>
          <w:b/>
        </w:rPr>
        <w:t>陕西云界招标管理有限公司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陕西云界招标管理有限公司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铜川市耀州区人民医院</w:t>
      </w:r>
      <w:r>
        <w:rPr>
          <w:rFonts w:ascii="仿宋_GB2312" w:hAnsi="仿宋_GB2312" w:cs="仿宋_GB2312" w:eastAsia="仿宋_GB2312"/>
        </w:rPr>
        <w:t>委托，拟对</w:t>
      </w:r>
      <w:r>
        <w:rPr>
          <w:rFonts w:ascii="仿宋_GB2312" w:hAnsi="仿宋_GB2312" w:cs="仿宋_GB2312" w:eastAsia="仿宋_GB2312"/>
        </w:rPr>
        <w:t>区人民医院关于采购医院餐厅外包服务项目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YJZB-2025-0909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区人民医院关于采购医院餐厅外包服务项目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采购包1（关于区医院采购餐厅外包服务）：采购包预算金额：1392000.00元。 采购包最高限价：1392000.00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采购包1（区人民医院关于采购医院餐厅外包服务项目）：属于专门面向小微企业采购。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 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2024年度经审计的财务报告（包括三表一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6、专业技术能力：供应商须提供具有履行合同所必需的设备和专业技术能力的承诺函（加盖供应商公章）。</w:t>
      </w:r>
    </w:p>
    <w:p>
      <w:pPr>
        <w:pStyle w:val="null3"/>
      </w:pPr>
      <w:r>
        <w:rPr>
          <w:rFonts w:ascii="仿宋_GB2312" w:hAnsi="仿宋_GB2312" w:cs="仿宋_GB2312" w:eastAsia="仿宋_GB2312"/>
        </w:rPr>
        <w:t>7、企业证明：供应商应具备良好的商业信誉，提供参加政府采购活动前3年内在经营活动中没有重大违法记录的书面声明（原件加盖供应商公章）。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8、信用中国：未在“信用中国” 网站（www.creditchina.gov.cn）和“ 中国政府采购网”（www.ccgp-shaanxi.gov.cn）列入失信被执行人、重大税收违法案件当事人名单、政府采购严重违法失信行为记录名单。</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10、本项目不接受联合体投标：本项目不接受联合体投标（提供书面声明材料）。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铜川市耀州区华原路中段北侧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13629195566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陕西云界招标管理有限公司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陕西省西安市新城区陕西省西安市新城区长缨西路1号1幢32011室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13772529819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 号）和国家发展改革委员会办公厅颁发的《关于招标代理服务收费有关问题的通知》（发改办 价格[2011]534号）的有关规定计取； 代理服务费的币种：人民币； 代理服务费的支付时间： 中标（成交）通知书发出前； 代理服务费的支付方式：由中标人一次性支付完毕。</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铜川市耀州区人民医院</w:t>
      </w:r>
      <w:r>
        <w:rPr>
          <w:rFonts w:ascii="仿宋_GB2312" w:hAnsi="仿宋_GB2312" w:cs="仿宋_GB2312" w:eastAsia="仿宋_GB2312"/>
        </w:rPr>
        <w:t>和</w:t>
      </w:r>
      <w:r>
        <w:rPr>
          <w:rFonts w:ascii="仿宋_GB2312" w:hAnsi="仿宋_GB2312" w:cs="仿宋_GB2312" w:eastAsia="仿宋_GB2312"/>
        </w:rPr>
        <w:t>陕西云界招标管理有限公司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陕西云界招标管理有限公司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陕西云界招标管理有限公司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联系人：侯文娟</w:t>
      </w:r>
    </w:p>
    <w:p>
      <w:pPr>
        <w:pStyle w:val="null3"/>
      </w:pPr>
      <w:r>
        <w:rPr>
          <w:rFonts w:ascii="仿宋_GB2312" w:hAnsi="仿宋_GB2312" w:cs="仿宋_GB2312" w:eastAsia="仿宋_GB2312"/>
        </w:rPr>
        <w:t>联系电话：13772529819</w:t>
      </w:r>
    </w:p>
    <w:p>
      <w:pPr>
        <w:pStyle w:val="null3"/>
      </w:pPr>
      <w:r>
        <w:rPr>
          <w:rFonts w:ascii="仿宋_GB2312" w:hAnsi="仿宋_GB2312" w:cs="仿宋_GB2312" w:eastAsia="仿宋_GB2312"/>
        </w:rPr>
        <w:t>地址：西安市新城区华东万和城3号楼20层2011室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采购包1（关于区医院采购餐厅外包服务）：采购包预算金额：1392000.00元。 采购包最高限价：1392000.00 元。 采购内容及要求：详见采购文件。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1,392,000.00</w:t>
      </w:r>
    </w:p>
    <w:p>
      <w:pPr>
        <w:pStyle w:val="null3"/>
      </w:pPr>
      <w:r>
        <w:rPr>
          <w:rFonts w:ascii="仿宋_GB2312" w:hAnsi="仿宋_GB2312" w:cs="仿宋_GB2312" w:eastAsia="仿宋_GB2312"/>
        </w:rPr>
        <w:t>采购包最高限价（元）: 1,392,000.00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区人民医院关于采购医院餐厅外包服务项目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标的名称：区人民医院关于采购医院餐厅外包服务项目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15" w:firstLine="1928"/>
              <w:jc w:val="center"/>
            </w:pPr>
            <w:r>
              <w:rPr>
                <w:rFonts w:ascii="仿宋_GB2312" w:hAnsi="仿宋_GB2312" w:cs="仿宋_GB2312" w:eastAsia="仿宋_GB2312"/>
                <w:sz w:val="24"/>
                <w:b/>
                <w:color w:val="000000"/>
              </w:rPr>
              <w:t>采购内容及要求</w:t>
            </w:r>
          </w:p>
          <w:p>
            <w:pPr>
              <w:pStyle w:val="null3"/>
              <w:ind w:left="30" w:right="15" w:firstLine="482"/>
              <w:jc w:val="left"/>
            </w:pPr>
            <w:r>
              <w:rPr>
                <w:rFonts w:ascii="仿宋_GB2312" w:hAnsi="仿宋_GB2312" w:cs="仿宋_GB2312" w:eastAsia="仿宋_GB2312"/>
                <w:sz w:val="21"/>
                <w:color w:val="000000"/>
              </w:rPr>
              <w:t>一、项目概况</w:t>
            </w:r>
          </w:p>
          <w:p>
            <w:pPr>
              <w:pStyle w:val="null3"/>
              <w:ind w:left="30" w:right="15" w:firstLine="482"/>
              <w:jc w:val="left"/>
            </w:pPr>
            <w:r>
              <w:rPr>
                <w:rFonts w:ascii="仿宋_GB2312" w:hAnsi="仿宋_GB2312" w:cs="仿宋_GB2312" w:eastAsia="仿宋_GB2312"/>
                <w:sz w:val="21"/>
                <w:color w:val="000000"/>
              </w:rPr>
              <w:t>1、餐厅概况</w:t>
            </w:r>
          </w:p>
          <w:p>
            <w:pPr>
              <w:pStyle w:val="null3"/>
              <w:ind w:left="30" w:right="15" w:firstLine="482"/>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地址：铜川市耀州区人民医院员工食堂</w:t>
            </w:r>
          </w:p>
          <w:p>
            <w:pPr>
              <w:pStyle w:val="null3"/>
              <w:ind w:left="30" w:right="15" w:firstLine="482"/>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外包所需的设备、场地、能源由甲方提供。</w:t>
            </w:r>
          </w:p>
          <w:p>
            <w:pPr>
              <w:pStyle w:val="null3"/>
              <w:ind w:left="30" w:right="15" w:firstLine="482"/>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定位：单位餐厅主要以提供单位人员工作餐及业务接待为主。</w:t>
            </w:r>
          </w:p>
          <w:p>
            <w:pPr>
              <w:pStyle w:val="null3"/>
              <w:ind w:left="30" w:right="15" w:firstLine="482"/>
              <w:jc w:val="left"/>
            </w:pPr>
            <w:r>
              <w:rPr>
                <w:rFonts w:ascii="仿宋_GB2312" w:hAnsi="仿宋_GB2312" w:cs="仿宋_GB2312" w:eastAsia="仿宋_GB2312"/>
                <w:sz w:val="21"/>
                <w:color w:val="000000"/>
              </w:rPr>
              <w:t>2、餐厅经营服务</w:t>
            </w:r>
          </w:p>
          <w:p>
            <w:pPr>
              <w:pStyle w:val="null3"/>
              <w:ind w:left="30" w:right="15" w:firstLine="482"/>
              <w:jc w:val="left"/>
            </w:pPr>
            <w:r>
              <w:rPr>
                <w:rFonts w:ascii="仿宋_GB2312" w:hAnsi="仿宋_GB2312" w:cs="仿宋_GB2312" w:eastAsia="仿宋_GB2312"/>
                <w:sz w:val="21"/>
                <w:color w:val="000000"/>
              </w:rPr>
              <w:t>2.1 员工餐厅经营服务，自助餐形式经营，按餐/次/人据实核算。本单位内部就餐人员凭卡消费。个人支付每人标准早餐：3元/人 午餐7元/人 晚餐5元/人 。</w:t>
            </w:r>
          </w:p>
          <w:p>
            <w:pPr>
              <w:pStyle w:val="null3"/>
              <w:ind w:left="30" w:right="15" w:firstLine="482"/>
              <w:jc w:val="left"/>
            </w:pPr>
            <w:r>
              <w:rPr>
                <w:rFonts w:ascii="仿宋_GB2312" w:hAnsi="仿宋_GB2312" w:cs="仿宋_GB2312" w:eastAsia="仿宋_GB2312"/>
                <w:sz w:val="21"/>
                <w:color w:val="000000"/>
              </w:rPr>
              <w:t>2.2 主要为单位工作人员提供早、午、晚工作餐（高峰期就餐人数约240人左右）。</w:t>
            </w:r>
          </w:p>
          <w:p>
            <w:pPr>
              <w:pStyle w:val="null3"/>
              <w:ind w:left="30" w:right="15" w:firstLine="482"/>
              <w:jc w:val="left"/>
            </w:pPr>
            <w:r>
              <w:rPr>
                <w:rFonts w:ascii="仿宋_GB2312" w:hAnsi="仿宋_GB2312" w:cs="仿宋_GB2312" w:eastAsia="仿宋_GB2312"/>
                <w:sz w:val="21"/>
                <w:color w:val="000000"/>
              </w:rPr>
              <w:t>2.3 如有需要，提供会议用餐、培训接待用餐。具体根据用餐单位要求制定 菜单，此项费用由用餐单位报主管领导同意，所产生的费用由用餐单位与承包商自行结算，不包含在此次采购预算内。（注：接待用餐收费标准具体见业务接待菜单。）</w:t>
            </w:r>
          </w:p>
          <w:p>
            <w:pPr>
              <w:pStyle w:val="null3"/>
              <w:ind w:left="30" w:right="15" w:firstLine="482"/>
              <w:jc w:val="left"/>
            </w:pPr>
            <w:r>
              <w:rPr>
                <w:rFonts w:ascii="仿宋_GB2312" w:hAnsi="仿宋_GB2312" w:cs="仿宋_GB2312" w:eastAsia="仿宋_GB2312"/>
                <w:sz w:val="21"/>
                <w:color w:val="000000"/>
              </w:rPr>
              <w:t>二、服务内容</w:t>
            </w:r>
          </w:p>
          <w:p>
            <w:pPr>
              <w:pStyle w:val="null3"/>
              <w:ind w:left="30" w:right="15" w:firstLine="482"/>
              <w:jc w:val="left"/>
            </w:pPr>
            <w:r>
              <w:rPr>
                <w:rFonts w:ascii="仿宋_GB2312" w:hAnsi="仿宋_GB2312" w:cs="仿宋_GB2312" w:eastAsia="仿宋_GB2312"/>
                <w:sz w:val="21"/>
                <w:color w:val="000000"/>
              </w:rPr>
              <w:t>承包方负责餐厅水、电、燃气等费用支出、运营管理、食材采购及加工、厨师团队聘请与管理、日常保洁，设施设备维护及保养、餐具桌椅等日常消耗品及1万元内的设备补充维修。医院承担1万元以上的设备添加，油烟管道清理、空调、消防系统、病媒监测、房屋等硬件改造。</w:t>
            </w:r>
          </w:p>
          <w:p>
            <w:pPr>
              <w:pStyle w:val="null3"/>
              <w:ind w:left="30" w:right="15" w:firstLine="482"/>
              <w:jc w:val="left"/>
            </w:pPr>
            <w:r>
              <w:rPr>
                <w:rFonts w:ascii="仿宋_GB2312" w:hAnsi="仿宋_GB2312" w:cs="仿宋_GB2312" w:eastAsia="仿宋_GB2312"/>
                <w:sz w:val="21"/>
                <w:color w:val="000000"/>
              </w:rPr>
              <w:t>1、每日开餐时间：</w:t>
            </w:r>
          </w:p>
          <w:p>
            <w:pPr>
              <w:pStyle w:val="null3"/>
              <w:ind w:left="30" w:right="15" w:firstLine="482"/>
              <w:jc w:val="left"/>
            </w:pPr>
            <w:r>
              <w:rPr>
                <w:rFonts w:ascii="仿宋_GB2312" w:hAnsi="仿宋_GB2312" w:cs="仿宋_GB2312" w:eastAsia="仿宋_GB2312"/>
                <w:sz w:val="21"/>
                <w:color w:val="000000"/>
              </w:rPr>
              <w:t>早餐07：00-8：30，午餐 11：30-13：00，晚餐 17：00-18：30</w:t>
            </w:r>
          </w:p>
          <w:p>
            <w:pPr>
              <w:pStyle w:val="null3"/>
              <w:ind w:left="30" w:right="15" w:firstLine="482"/>
              <w:jc w:val="left"/>
            </w:pPr>
            <w:r>
              <w:rPr>
                <w:rFonts w:ascii="仿宋_GB2312" w:hAnsi="仿宋_GB2312" w:cs="仿宋_GB2312" w:eastAsia="仿宋_GB2312"/>
                <w:sz w:val="21"/>
                <w:color w:val="000000"/>
              </w:rPr>
              <w:t>2、用餐所供食品、器皿在开餐前 10 分钟布置完毕，如因客观因素不能准时开餐，承包方应提前通知有关管理部门，并留有充分时间做出补救。</w:t>
            </w:r>
          </w:p>
          <w:p>
            <w:pPr>
              <w:pStyle w:val="null3"/>
              <w:ind w:left="30" w:right="15" w:firstLine="482"/>
              <w:jc w:val="left"/>
            </w:pPr>
            <w:r>
              <w:rPr>
                <w:rFonts w:ascii="仿宋_GB2312" w:hAnsi="仿宋_GB2312" w:cs="仿宋_GB2312" w:eastAsia="仿宋_GB2312"/>
                <w:sz w:val="21"/>
                <w:color w:val="000000"/>
              </w:rPr>
              <w:t>3、员工餐采取自助餐形式，荤素搭配，均衡膳食，按餐划卡。</w:t>
            </w:r>
          </w:p>
          <w:p>
            <w:pPr>
              <w:pStyle w:val="null3"/>
              <w:ind w:left="30" w:right="15" w:firstLine="482"/>
              <w:jc w:val="left"/>
            </w:pPr>
            <w:r>
              <w:rPr>
                <w:rFonts w:ascii="仿宋_GB2312" w:hAnsi="仿宋_GB2312" w:cs="仿宋_GB2312" w:eastAsia="仿宋_GB2312"/>
                <w:sz w:val="21"/>
                <w:color w:val="000000"/>
              </w:rPr>
              <w:t>3.1 荤菜是以肉类或水产类原材料为主。</w:t>
            </w:r>
          </w:p>
          <w:p>
            <w:pPr>
              <w:pStyle w:val="null3"/>
              <w:ind w:left="30" w:right="15" w:firstLine="482"/>
              <w:jc w:val="left"/>
            </w:pPr>
            <w:r>
              <w:rPr>
                <w:rFonts w:ascii="仿宋_GB2312" w:hAnsi="仿宋_GB2312" w:cs="仿宋_GB2312" w:eastAsia="仿宋_GB2312"/>
                <w:sz w:val="21"/>
                <w:color w:val="000000"/>
              </w:rPr>
              <w:t>3.2 荤素菜是含有肉类或水产类原材料的菜品。</w:t>
            </w:r>
          </w:p>
          <w:p>
            <w:pPr>
              <w:pStyle w:val="null3"/>
              <w:ind w:left="30" w:right="15" w:firstLine="482"/>
              <w:jc w:val="left"/>
            </w:pPr>
            <w:r>
              <w:rPr>
                <w:rFonts w:ascii="仿宋_GB2312" w:hAnsi="仿宋_GB2312" w:cs="仿宋_GB2312" w:eastAsia="仿宋_GB2312"/>
                <w:sz w:val="21"/>
                <w:color w:val="000000"/>
              </w:rPr>
              <w:t>3.3 素菜是不含肉类或水产类原材料的菜品。</w:t>
            </w:r>
          </w:p>
          <w:p>
            <w:pPr>
              <w:pStyle w:val="null3"/>
              <w:ind w:left="30" w:right="15" w:firstLine="482"/>
              <w:jc w:val="left"/>
            </w:pPr>
            <w:r>
              <w:rPr>
                <w:rFonts w:ascii="仿宋_GB2312" w:hAnsi="仿宋_GB2312" w:cs="仿宋_GB2312" w:eastAsia="仿宋_GB2312"/>
                <w:sz w:val="21"/>
                <w:color w:val="000000"/>
              </w:rPr>
              <w:t xml:space="preserve">3.4 饭菜保证菜品色、香、味和温度。    </w:t>
            </w:r>
          </w:p>
          <w:p>
            <w:pPr>
              <w:pStyle w:val="null3"/>
              <w:ind w:right="15" w:firstLine="472"/>
              <w:jc w:val="left"/>
            </w:pPr>
            <w:r>
              <w:rPr>
                <w:rFonts w:ascii="仿宋_GB2312" w:hAnsi="仿宋_GB2312" w:cs="仿宋_GB2312" w:eastAsia="仿宋_GB2312"/>
                <w:sz w:val="21"/>
                <w:color w:val="000000"/>
              </w:rPr>
              <w:t>4、菜品要求</w:t>
            </w:r>
          </w:p>
          <w:p>
            <w:pPr>
              <w:pStyle w:val="null3"/>
              <w:ind w:left="30" w:right="15" w:firstLine="482"/>
              <w:jc w:val="left"/>
            </w:pPr>
            <w:r>
              <w:rPr>
                <w:rFonts w:ascii="仿宋_GB2312" w:hAnsi="仿宋_GB2312" w:cs="仿宋_GB2312" w:eastAsia="仿宋_GB2312"/>
                <w:sz w:val="21"/>
                <w:color w:val="000000"/>
              </w:rPr>
              <w:t>4.1 供餐要求</w:t>
            </w:r>
          </w:p>
          <w:p>
            <w:pPr>
              <w:pStyle w:val="null3"/>
              <w:ind w:left="30" w:right="15" w:firstLine="482"/>
              <w:jc w:val="left"/>
            </w:pPr>
            <w:r>
              <w:rPr>
                <w:rFonts w:ascii="仿宋_GB2312" w:hAnsi="仿宋_GB2312" w:cs="仿宋_GB2312" w:eastAsia="仿宋_GB2312"/>
                <w:sz w:val="21"/>
                <w:color w:val="000000"/>
              </w:rPr>
              <w:t>供餐模式为自助式供餐；</w:t>
            </w:r>
          </w:p>
          <w:p>
            <w:pPr>
              <w:pStyle w:val="null3"/>
              <w:ind w:left="30" w:right="15" w:firstLine="482"/>
              <w:jc w:val="left"/>
            </w:pPr>
            <w:r>
              <w:rPr>
                <w:rFonts w:ascii="仿宋_GB2312" w:hAnsi="仿宋_GB2312" w:cs="仿宋_GB2312" w:eastAsia="仿宋_GB2312"/>
                <w:sz w:val="21"/>
                <w:color w:val="000000"/>
              </w:rPr>
              <w:t>4.2 供餐内容</w:t>
            </w:r>
          </w:p>
          <w:p>
            <w:pPr>
              <w:pStyle w:val="null3"/>
              <w:ind w:left="30" w:right="15" w:firstLine="482"/>
              <w:jc w:val="left"/>
            </w:pPr>
            <w:r>
              <w:rPr>
                <w:rFonts w:ascii="仿宋_GB2312" w:hAnsi="仿宋_GB2312" w:cs="仿宋_GB2312" w:eastAsia="仿宋_GB2312"/>
                <w:sz w:val="21"/>
                <w:color w:val="000000"/>
              </w:rPr>
              <w:t>早餐15种：凉菜2种，小菜2种，热菜4种（二荤二素），小吃4种（炸、蒸、烙类小吃），稀饭2种，鸡蛋1种（蒸、五香、煎）；</w:t>
            </w:r>
          </w:p>
          <w:p>
            <w:pPr>
              <w:pStyle w:val="null3"/>
              <w:ind w:left="30" w:right="15" w:firstLine="482"/>
              <w:jc w:val="left"/>
            </w:pPr>
            <w:r>
              <w:rPr>
                <w:rFonts w:ascii="仿宋_GB2312" w:hAnsi="仿宋_GB2312" w:cs="仿宋_GB2312" w:eastAsia="仿宋_GB2312"/>
                <w:sz w:val="21"/>
                <w:color w:val="000000"/>
              </w:rPr>
              <w:t>午餐12种：凉菜2种（一荤一素），热菜4种（二荤二素）；小吃3种炸、蒸、烙类小吃）；主食、汤3种；主食含米 饭、面食（不少于 2 个品种)、馒头（花卷）、杂粮小吃（不少于 1 个品种）；其中每天现场堂做1种。</w:t>
            </w:r>
          </w:p>
          <w:p>
            <w:pPr>
              <w:pStyle w:val="null3"/>
              <w:ind w:left="30" w:right="15" w:firstLine="482"/>
              <w:jc w:val="left"/>
            </w:pPr>
            <w:r>
              <w:rPr>
                <w:rFonts w:ascii="仿宋_GB2312" w:hAnsi="仿宋_GB2312" w:cs="仿宋_GB2312" w:eastAsia="仿宋_GB2312"/>
                <w:sz w:val="21"/>
                <w:color w:val="000000"/>
              </w:rPr>
              <w:t>晚餐9种：凉菜2种；热菜4种(一荤 三素)；稀饭1种，小吃2种；</w:t>
            </w:r>
          </w:p>
          <w:p>
            <w:pPr>
              <w:pStyle w:val="null3"/>
              <w:ind w:left="30" w:right="15" w:firstLine="482"/>
              <w:jc w:val="left"/>
            </w:pPr>
            <w:r>
              <w:rPr>
                <w:rFonts w:ascii="仿宋_GB2312" w:hAnsi="仿宋_GB2312" w:cs="仿宋_GB2312" w:eastAsia="仿宋_GB2312"/>
                <w:sz w:val="21"/>
                <w:color w:val="000000"/>
              </w:rPr>
              <w:t>4.3 传统节假日、重大节日供应有关节日文化食品。</w:t>
            </w:r>
          </w:p>
          <w:p>
            <w:pPr>
              <w:pStyle w:val="null3"/>
              <w:ind w:left="30" w:right="15" w:firstLine="482"/>
              <w:jc w:val="left"/>
            </w:pPr>
            <w:r>
              <w:rPr>
                <w:rFonts w:ascii="仿宋_GB2312" w:hAnsi="仿宋_GB2312" w:cs="仿宋_GB2312" w:eastAsia="仿宋_GB2312"/>
                <w:sz w:val="21"/>
                <w:color w:val="000000"/>
              </w:rPr>
              <w:t xml:space="preserve">4.4 </w:t>
            </w:r>
            <w:r>
              <w:rPr>
                <w:rFonts w:ascii="仿宋_GB2312" w:hAnsi="仿宋_GB2312" w:cs="仿宋_GB2312" w:eastAsia="仿宋_GB2312"/>
                <w:sz w:val="21"/>
                <w:color w:val="000000"/>
              </w:rPr>
              <w:t>每日按需加工食物，剩菜、剩饭按规定处置，不得留于第二天食用，严格控制使用预制食品。</w:t>
            </w:r>
          </w:p>
          <w:p>
            <w:pPr>
              <w:pStyle w:val="null3"/>
              <w:ind w:left="30" w:right="15" w:firstLine="482"/>
              <w:jc w:val="left"/>
            </w:pPr>
            <w:r>
              <w:rPr>
                <w:rFonts w:ascii="仿宋_GB2312" w:hAnsi="仿宋_GB2312" w:cs="仿宋_GB2312" w:eastAsia="仿宋_GB2312"/>
                <w:sz w:val="21"/>
                <w:color w:val="000000"/>
              </w:rPr>
              <w:t>5、餐厅厨师根据就餐规模和餐费标准制定餐谱，考虑就餐人员的口味以及季节的变化，保证每周菜品不重复，每周五下班之前提前排好下周食谱。</w:t>
            </w:r>
          </w:p>
          <w:p>
            <w:pPr>
              <w:pStyle w:val="null3"/>
              <w:ind w:left="30" w:right="15" w:firstLine="482"/>
              <w:jc w:val="left"/>
            </w:pPr>
            <w:r>
              <w:rPr>
                <w:rFonts w:ascii="仿宋_GB2312" w:hAnsi="仿宋_GB2312" w:cs="仿宋_GB2312" w:eastAsia="仿宋_GB2312"/>
                <w:sz w:val="21"/>
                <w:color w:val="000000"/>
              </w:rPr>
              <w:t>三、技术要求</w:t>
            </w:r>
          </w:p>
          <w:p>
            <w:pPr>
              <w:pStyle w:val="null3"/>
              <w:ind w:left="30" w:right="15" w:firstLine="482"/>
              <w:jc w:val="left"/>
            </w:pPr>
            <w:r>
              <w:rPr>
                <w:rFonts w:ascii="仿宋_GB2312" w:hAnsi="仿宋_GB2312" w:cs="仿宋_GB2312" w:eastAsia="仿宋_GB2312"/>
                <w:sz w:val="21"/>
                <w:color w:val="000000"/>
              </w:rPr>
              <w:t>（一）服务标准</w:t>
            </w:r>
          </w:p>
          <w:p>
            <w:pPr>
              <w:pStyle w:val="null3"/>
              <w:ind w:left="30" w:right="15" w:firstLine="482"/>
              <w:jc w:val="left"/>
            </w:pPr>
            <w:r>
              <w:rPr>
                <w:rFonts w:ascii="仿宋_GB2312" w:hAnsi="仿宋_GB2312" w:cs="仿宋_GB2312" w:eastAsia="仿宋_GB2312"/>
                <w:sz w:val="21"/>
                <w:color w:val="000000"/>
              </w:rPr>
              <w:t>1.服务标准及要求：卫生环境符合餐饮行业卫生标准；</w:t>
            </w:r>
          </w:p>
          <w:p>
            <w:pPr>
              <w:pStyle w:val="null3"/>
              <w:ind w:left="30" w:right="15" w:firstLine="482"/>
              <w:jc w:val="left"/>
            </w:pPr>
            <w:r>
              <w:rPr>
                <w:rFonts w:ascii="仿宋_GB2312" w:hAnsi="仿宋_GB2312" w:cs="仿宋_GB2312" w:eastAsia="仿宋_GB2312"/>
                <w:sz w:val="21"/>
                <w:color w:val="000000"/>
              </w:rPr>
              <w:t>（1）坚持执行"一检二洗三切四浸泡五烫六烧"程序，保证食品卫生质量， 坚持碗筷洗刷消毒工作，保持食堂干净卫生，达到有关卫生标准要求，防止食物中毒事故发生。</w:t>
            </w:r>
          </w:p>
          <w:p>
            <w:pPr>
              <w:pStyle w:val="null3"/>
              <w:ind w:left="30" w:right="15" w:firstLine="482"/>
              <w:jc w:val="left"/>
            </w:pPr>
            <w:r>
              <w:rPr>
                <w:rFonts w:ascii="仿宋_GB2312" w:hAnsi="仿宋_GB2312" w:cs="仿宋_GB2312" w:eastAsia="仿宋_GB2312"/>
                <w:sz w:val="21"/>
                <w:color w:val="000000"/>
              </w:rPr>
              <w:t>（2）熟悉并能严格遵守《中华人民共和国食品卫生法》，不使用不洁、过 期、变质食品原材料，做好食品卫生安全工作如若发生食品安全问题，承包方应承担全部责任。</w:t>
            </w:r>
          </w:p>
          <w:p>
            <w:pPr>
              <w:pStyle w:val="null3"/>
              <w:ind w:left="30" w:right="15" w:firstLine="482"/>
              <w:jc w:val="left"/>
            </w:pPr>
            <w:r>
              <w:rPr>
                <w:rFonts w:ascii="仿宋_GB2312" w:hAnsi="仿宋_GB2312" w:cs="仿宋_GB2312" w:eastAsia="仿宋_GB2312"/>
                <w:sz w:val="21"/>
                <w:color w:val="000000"/>
              </w:rPr>
              <w:t>（3）遵守办公楼管理制度，不得干扰正常的办公秩序。</w:t>
            </w:r>
          </w:p>
          <w:p>
            <w:pPr>
              <w:pStyle w:val="null3"/>
              <w:ind w:left="30" w:right="15" w:firstLine="482"/>
              <w:jc w:val="left"/>
            </w:pPr>
            <w:r>
              <w:rPr>
                <w:rFonts w:ascii="仿宋_GB2312" w:hAnsi="仿宋_GB2312" w:cs="仿宋_GB2312" w:eastAsia="仿宋_GB2312"/>
                <w:sz w:val="21"/>
                <w:color w:val="000000"/>
              </w:rPr>
              <w:t>（4）餐厅现有的设备无偿交由承包方使用，要爱护厨具设备及餐厅公共设施， 确保设施完好，做好餐厅设备设施的管理与日常维护工作。不得人为损坏和丢失，否则应折价赔偿。</w:t>
            </w:r>
          </w:p>
          <w:p>
            <w:pPr>
              <w:pStyle w:val="null3"/>
              <w:ind w:left="30" w:right="15" w:firstLine="482"/>
              <w:jc w:val="left"/>
            </w:pPr>
            <w:r>
              <w:rPr>
                <w:rFonts w:ascii="仿宋_GB2312" w:hAnsi="仿宋_GB2312" w:cs="仿宋_GB2312" w:eastAsia="仿宋_GB2312"/>
                <w:sz w:val="21"/>
                <w:color w:val="000000"/>
              </w:rPr>
              <w:t>（5）接受并配合医院及使用人对环境卫生、食品卫生、服务态度、饭菜质</w:t>
            </w:r>
          </w:p>
          <w:p>
            <w:pPr>
              <w:pStyle w:val="null3"/>
              <w:ind w:left="30" w:right="15" w:firstLine="482"/>
              <w:jc w:val="left"/>
            </w:pPr>
            <w:r>
              <w:rPr>
                <w:rFonts w:ascii="仿宋_GB2312" w:hAnsi="仿宋_GB2312" w:cs="仿宋_GB2312" w:eastAsia="仿宋_GB2312"/>
                <w:sz w:val="21"/>
                <w:color w:val="000000"/>
              </w:rPr>
              <w:t>量等进行的监督、检查。</w:t>
            </w:r>
          </w:p>
          <w:p>
            <w:pPr>
              <w:pStyle w:val="null3"/>
              <w:ind w:left="30" w:right="15" w:firstLine="482"/>
              <w:jc w:val="left"/>
            </w:pPr>
            <w:r>
              <w:rPr>
                <w:rFonts w:ascii="仿宋_GB2312" w:hAnsi="仿宋_GB2312" w:cs="仿宋_GB2312" w:eastAsia="仿宋_GB2312"/>
                <w:sz w:val="21"/>
                <w:color w:val="000000"/>
              </w:rPr>
              <w:t>（6）建立完善的餐厅管理制度和应急预案并严格实施；</w:t>
            </w:r>
          </w:p>
          <w:p>
            <w:pPr>
              <w:pStyle w:val="null3"/>
              <w:ind w:left="30" w:right="15" w:firstLine="482"/>
              <w:jc w:val="left"/>
            </w:pPr>
            <w:r>
              <w:rPr>
                <w:rFonts w:ascii="仿宋_GB2312" w:hAnsi="仿宋_GB2312" w:cs="仿宋_GB2312" w:eastAsia="仿宋_GB2312"/>
                <w:sz w:val="21"/>
                <w:color w:val="000000"/>
              </w:rPr>
              <w:t>（7）承包方不得转租、转包、不得自行改造承包的餐厅；</w:t>
            </w:r>
          </w:p>
          <w:p>
            <w:pPr>
              <w:pStyle w:val="null3"/>
              <w:ind w:left="30" w:right="15" w:firstLine="482"/>
              <w:jc w:val="left"/>
            </w:pPr>
            <w:r>
              <w:rPr>
                <w:rFonts w:ascii="仿宋_GB2312" w:hAnsi="仿宋_GB2312" w:cs="仿宋_GB2312" w:eastAsia="仿宋_GB2312"/>
                <w:sz w:val="21"/>
                <w:color w:val="000000"/>
              </w:rPr>
              <w:t>（8）建立餐厅餐饮服务调度管理；</w:t>
            </w:r>
          </w:p>
          <w:p>
            <w:pPr>
              <w:pStyle w:val="null3"/>
              <w:ind w:left="30" w:right="15" w:firstLine="482"/>
              <w:jc w:val="left"/>
            </w:pPr>
            <w:r>
              <w:rPr>
                <w:rFonts w:ascii="仿宋_GB2312" w:hAnsi="仿宋_GB2312" w:cs="仿宋_GB2312" w:eastAsia="仿宋_GB2312"/>
                <w:sz w:val="21"/>
                <w:color w:val="000000"/>
              </w:rPr>
              <w:t>（9）餐厅保洁前堂卫生标准：地面无纸屑、烟头、烟灰、水迹、油污、食物 残渣，呈现地砖本色；桌、椅、墙裙无污迹、油迹，无孔洞、无裂缝、摆放整齐，符合餐桌布局标准；柱子、墙面、顶部无孔洞、裂缝、蜘蛛网， 无划伤、污迹、油迹，无脱落，无其它色彩污染；餐用具出堂符合摆台标准，售餐柜、菜夹无油污、水迹，柜内无异味、臭味，柜内备餐用具、纸巾符合出品质量标准，摆放整齐。</w:t>
            </w:r>
          </w:p>
          <w:p>
            <w:pPr>
              <w:pStyle w:val="null3"/>
              <w:ind w:left="30" w:right="15" w:firstLine="482"/>
              <w:jc w:val="left"/>
            </w:pPr>
            <w:r>
              <w:rPr>
                <w:rFonts w:ascii="仿宋_GB2312" w:hAnsi="仿宋_GB2312" w:cs="仿宋_GB2312" w:eastAsia="仿宋_GB2312"/>
                <w:sz w:val="21"/>
                <w:color w:val="000000"/>
              </w:rPr>
              <w:t>（10）后厨卫生标准：地面无积水、污水、菜叶、菜皮、纸屑、饭粒、肉粒等垃圾，地面无残缺地砖，地沟无堵塞，</w:t>
            </w:r>
            <w:r>
              <w:rPr>
                <w:rFonts w:ascii="仿宋_GB2312" w:hAnsi="仿宋_GB2312" w:cs="仿宋_GB2312" w:eastAsia="仿宋_GB2312"/>
                <w:sz w:val="21"/>
                <w:color w:val="000000"/>
              </w:rPr>
              <w:t>及时清理地沟残渣剩饭</w:t>
            </w:r>
            <w:r>
              <w:rPr>
                <w:rFonts w:ascii="仿宋_GB2312" w:hAnsi="仿宋_GB2312" w:cs="仿宋_GB2312" w:eastAsia="仿宋_GB2312"/>
                <w:sz w:val="21"/>
                <w:color w:val="000000"/>
              </w:rPr>
              <w:t>、菜叶，无臭味，地沟盖无残缺，冰柜、工作台、炉台、碗柜等设备及墙面无卫生死角，垃圾桶四周及地面、墙面无油污、垃圾，并加盖盖子，垃圾不得堆放在地上；墙面、顶棚无灰尘、油污、孔洞，无脱落瓷砖；制度、标识等张贴符合标准，设备（冰箱、冰柜、工作台、炉灶、洗涤池等）表面无油污、灰尘；灯泡、灯管、灭蝇灯、管 道、电线表面无油污、灰尘，无脱落掉线；菜品、设备、工具、用具摆放标准；抽油烟机、换气装置无较重油污，门、窗、纱窗无破损、无油污、无灰尘，气罐、灭火器本身洁净无油污。整体符合食品及卫生监</w:t>
            </w:r>
            <w:r>
              <w:rPr>
                <w:rFonts w:ascii="仿宋_GB2312" w:hAnsi="仿宋_GB2312" w:cs="仿宋_GB2312" w:eastAsia="仿宋_GB2312"/>
                <w:sz w:val="21"/>
                <w:color w:val="000000"/>
              </w:rPr>
              <w:t>督管理部门的要求。</w:t>
            </w:r>
          </w:p>
          <w:p>
            <w:pPr>
              <w:pStyle w:val="null3"/>
              <w:ind w:left="30" w:right="15" w:firstLine="482"/>
              <w:jc w:val="left"/>
            </w:pPr>
            <w:r>
              <w:rPr>
                <w:rFonts w:ascii="仿宋_GB2312" w:hAnsi="仿宋_GB2312" w:cs="仿宋_GB2312" w:eastAsia="仿宋_GB2312"/>
                <w:sz w:val="21"/>
                <w:color w:val="000000"/>
              </w:rPr>
              <w:t>2.质量标准要求</w:t>
            </w:r>
          </w:p>
          <w:p>
            <w:pPr>
              <w:pStyle w:val="null3"/>
              <w:ind w:left="30" w:right="15" w:firstLine="482"/>
              <w:jc w:val="left"/>
            </w:pPr>
            <w:r>
              <w:rPr>
                <w:rFonts w:ascii="仿宋_GB2312" w:hAnsi="仿宋_GB2312" w:cs="仿宋_GB2312" w:eastAsia="仿宋_GB2312"/>
                <w:sz w:val="21"/>
                <w:color w:val="000000"/>
              </w:rPr>
              <w:t>食材加工流程，刀、案板使用与硬件环境符合餐饮行业卫生标准;食材存储符合餐饮行业卫生标准，要有专人负责经常翻库，及时报废，销毁过期或变质食材；</w:t>
            </w:r>
          </w:p>
          <w:p>
            <w:pPr>
              <w:pStyle w:val="null3"/>
              <w:ind w:right="15" w:firstLine="472"/>
              <w:jc w:val="left"/>
            </w:pPr>
            <w:r>
              <w:rPr>
                <w:rFonts w:ascii="仿宋_GB2312" w:hAnsi="仿宋_GB2312" w:cs="仿宋_GB2312" w:eastAsia="仿宋_GB2312"/>
                <w:sz w:val="21"/>
                <w:color w:val="000000"/>
              </w:rPr>
              <w:t>（1）承包方在合同履行过程中要服从采购人对生产场地、工作及生活环境的安排和要求，严格执行采购人制定的相关管理规定，并接受采购人的考核；</w:t>
            </w:r>
          </w:p>
          <w:p>
            <w:pPr>
              <w:pStyle w:val="null3"/>
              <w:ind w:right="15" w:firstLine="472"/>
              <w:jc w:val="left"/>
            </w:pPr>
            <w:r>
              <w:rPr>
                <w:rFonts w:ascii="仿宋_GB2312" w:hAnsi="仿宋_GB2312" w:cs="仿宋_GB2312" w:eastAsia="仿宋_GB2312"/>
                <w:sz w:val="21"/>
                <w:color w:val="000000"/>
              </w:rPr>
              <w:t>（2）承包方业务的专业质量标准和规范必须达到《食堂工作规范及标准》规定的内容；</w:t>
            </w:r>
          </w:p>
          <w:p>
            <w:pPr>
              <w:pStyle w:val="null3"/>
              <w:ind w:left="30" w:right="15" w:firstLine="482"/>
              <w:jc w:val="left"/>
            </w:pPr>
            <w:r>
              <w:rPr>
                <w:rFonts w:ascii="仿宋_GB2312" w:hAnsi="仿宋_GB2312" w:cs="仿宋_GB2312" w:eastAsia="仿宋_GB2312"/>
                <w:sz w:val="21"/>
                <w:color w:val="000000"/>
              </w:rPr>
              <w:t>（3）餐具保持完好率（指餐具无裂缝、豁口或破损）在 98%以上，</w:t>
            </w:r>
            <w:r>
              <w:rPr>
                <w:rFonts w:ascii="仿宋_GB2312" w:hAnsi="仿宋_GB2312" w:cs="仿宋_GB2312" w:eastAsia="仿宋_GB2312"/>
                <w:sz w:val="21"/>
                <w:color w:val="000000"/>
              </w:rPr>
              <w:t>原则上无破损餐具。</w:t>
            </w:r>
            <w:r>
              <w:rPr>
                <w:rFonts w:ascii="仿宋_GB2312" w:hAnsi="仿宋_GB2312" w:cs="仿宋_GB2312" w:eastAsia="仿宋_GB2312"/>
                <w:sz w:val="21"/>
                <w:color w:val="000000"/>
              </w:rPr>
              <w:t>餐具补充均由承包方无条件承担；</w:t>
            </w:r>
          </w:p>
          <w:p>
            <w:pPr>
              <w:pStyle w:val="null3"/>
              <w:ind w:right="15" w:firstLine="472"/>
              <w:jc w:val="left"/>
            </w:pPr>
            <w:r>
              <w:rPr>
                <w:rFonts w:ascii="仿宋_GB2312" w:hAnsi="仿宋_GB2312" w:cs="仿宋_GB2312" w:eastAsia="仿宋_GB2312"/>
                <w:sz w:val="21"/>
                <w:color w:val="000000"/>
              </w:rPr>
              <w:t>（4）意外事故承担。就餐者在就餐过程中，因餐厅地面打扫不及时而导致的摔倒、磕伤、碰伤等引起的一切问题由承包方承担；</w:t>
            </w:r>
          </w:p>
          <w:p>
            <w:pPr>
              <w:pStyle w:val="null3"/>
              <w:ind w:right="15" w:firstLine="472"/>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凡因食材问题，清洗不干净或加工不规范</w:t>
            </w:r>
            <w:r>
              <w:rPr>
                <w:rFonts w:ascii="仿宋_GB2312" w:hAnsi="仿宋_GB2312" w:cs="仿宋_GB2312" w:eastAsia="仿宋_GB2312"/>
                <w:sz w:val="21"/>
                <w:color w:val="000000"/>
              </w:rPr>
              <w:t>造成食物中毒或其他问题所引发的全部责任由承包方承担；</w:t>
            </w:r>
          </w:p>
          <w:p>
            <w:pPr>
              <w:pStyle w:val="null3"/>
              <w:ind w:right="15" w:firstLine="472"/>
              <w:jc w:val="left"/>
            </w:pPr>
            <w:r>
              <w:rPr>
                <w:rFonts w:ascii="仿宋_GB2312" w:hAnsi="仿宋_GB2312" w:cs="仿宋_GB2312" w:eastAsia="仿宋_GB2312"/>
                <w:sz w:val="21"/>
                <w:color w:val="000000"/>
              </w:rPr>
              <w:t>（6）承包方承担在履行过程中的全部安全责任；</w:t>
            </w:r>
          </w:p>
          <w:p>
            <w:pPr>
              <w:pStyle w:val="null3"/>
              <w:ind w:right="15" w:firstLine="472"/>
              <w:jc w:val="left"/>
            </w:pPr>
            <w:r>
              <w:rPr>
                <w:rFonts w:ascii="仿宋_GB2312" w:hAnsi="仿宋_GB2312" w:cs="仿宋_GB2312" w:eastAsia="仿宋_GB2312"/>
                <w:sz w:val="21"/>
                <w:color w:val="000000"/>
              </w:rPr>
              <w:t xml:space="preserve">（7）承包方应严格遵守医院考核方案，并严格执行，凡违规或违纪医院有权直接进行经济处罚，凡经济处罚一律不再返还；                                     </w:t>
            </w:r>
          </w:p>
          <w:p>
            <w:pPr>
              <w:pStyle w:val="null3"/>
              <w:ind w:right="15" w:firstLine="472"/>
              <w:jc w:val="left"/>
            </w:pPr>
            <w:r>
              <w:rPr>
                <w:rFonts w:ascii="仿宋_GB2312" w:hAnsi="仿宋_GB2312" w:cs="仿宋_GB2312" w:eastAsia="仿宋_GB2312"/>
                <w:sz w:val="21"/>
                <w:color w:val="000000"/>
              </w:rPr>
              <w:t>（8）各种设施设备必须按操作规程进行操作</w:t>
            </w:r>
            <w:r>
              <w:rPr>
                <w:rFonts w:ascii="仿宋_GB2312" w:hAnsi="仿宋_GB2312" w:cs="仿宋_GB2312" w:eastAsia="仿宋_GB2312"/>
                <w:sz w:val="21"/>
                <w:color w:val="000000"/>
              </w:rPr>
              <w:t>，</w:t>
            </w:r>
            <w:r>
              <w:rPr>
                <w:rFonts w:ascii="仿宋_GB2312" w:hAnsi="仿宋_GB2312" w:cs="仿宋_GB2312" w:eastAsia="仿宋_GB2312"/>
                <w:sz w:val="21"/>
                <w:color w:val="000000"/>
              </w:rPr>
              <w:t>并定期维护保养，</w:t>
            </w:r>
            <w:r>
              <w:rPr>
                <w:rFonts w:ascii="仿宋_GB2312" w:hAnsi="仿宋_GB2312" w:cs="仿宋_GB2312" w:eastAsia="仿宋_GB2312"/>
                <w:sz w:val="21"/>
                <w:color w:val="000000"/>
              </w:rPr>
              <w:t>不得违反设备使用性能或违规使用；</w:t>
            </w:r>
            <w:r>
              <w:rPr>
                <w:rFonts w:ascii="仿宋_GB2312" w:hAnsi="仿宋_GB2312" w:cs="仿宋_GB2312" w:eastAsia="仿宋_GB2312"/>
                <w:sz w:val="21"/>
                <w:color w:val="000000"/>
              </w:rPr>
              <w:t>因使用不当造成损失由承包方承担。</w:t>
            </w:r>
          </w:p>
          <w:p>
            <w:pPr>
              <w:pStyle w:val="null3"/>
              <w:ind w:left="30" w:right="15" w:firstLine="482"/>
              <w:jc w:val="left"/>
            </w:pPr>
            <w:r>
              <w:rPr>
                <w:rFonts w:ascii="仿宋_GB2312" w:hAnsi="仿宋_GB2312" w:cs="仿宋_GB2312" w:eastAsia="仿宋_GB2312"/>
                <w:sz w:val="21"/>
                <w:color w:val="000000"/>
              </w:rPr>
              <w:t>（二）食材标准</w:t>
            </w:r>
          </w:p>
          <w:p>
            <w:pPr>
              <w:pStyle w:val="null3"/>
              <w:ind w:left="30" w:right="15" w:firstLine="482"/>
              <w:jc w:val="left"/>
            </w:pPr>
            <w:r>
              <w:rPr>
                <w:rFonts w:ascii="仿宋_GB2312" w:hAnsi="仿宋_GB2312" w:cs="仿宋_GB2312" w:eastAsia="仿宋_GB2312"/>
                <w:sz w:val="21"/>
                <w:color w:val="000000"/>
              </w:rPr>
              <w:t>1、质量要求：大米：包装袋上有注册商标，有检验合格证、 生产日期和保质期；面粉：包装袋上有注册商标，有检验合格证、 生产日期和保质期；食用油：大豆油、菜籽油；包装袋上有注册商标，有检验合格证、生产日期和保质期。</w:t>
            </w:r>
          </w:p>
          <w:p>
            <w:pPr>
              <w:pStyle w:val="null3"/>
              <w:ind w:left="30" w:right="15" w:firstLine="482"/>
              <w:jc w:val="left"/>
            </w:pPr>
            <w:r>
              <w:rPr>
                <w:rFonts w:ascii="仿宋_GB2312" w:hAnsi="仿宋_GB2312" w:cs="仿宋_GB2312" w:eastAsia="仿宋_GB2312"/>
                <w:sz w:val="21"/>
                <w:color w:val="000000"/>
              </w:rPr>
              <w:t>大米执行标准：GB/T1354-2018 一级标准</w:t>
            </w:r>
          </w:p>
          <w:p>
            <w:pPr>
              <w:pStyle w:val="null3"/>
              <w:ind w:right="15" w:firstLine="480"/>
              <w:jc w:val="left"/>
            </w:pPr>
            <w:r>
              <w:rPr>
                <w:rFonts w:ascii="仿宋_GB2312" w:hAnsi="仿宋_GB2312" w:cs="仿宋_GB2312" w:eastAsia="仿宋_GB2312"/>
                <w:sz w:val="21"/>
                <w:color w:val="000000"/>
              </w:rPr>
              <w:t>面粉执行标准：GB/T1355-2021 小麦粉（特制一等粉或特制二等粉）</w:t>
            </w:r>
          </w:p>
          <w:p>
            <w:pPr>
              <w:pStyle w:val="null3"/>
              <w:ind w:right="15" w:firstLine="480"/>
              <w:jc w:val="left"/>
            </w:pPr>
            <w:r>
              <w:rPr>
                <w:rFonts w:ascii="仿宋_GB2312" w:hAnsi="仿宋_GB2312" w:cs="仿宋_GB2312" w:eastAsia="仿宋_GB2312"/>
                <w:sz w:val="21"/>
                <w:color w:val="000000"/>
              </w:rPr>
              <w:t>大豆油</w:t>
            </w:r>
            <w:r>
              <w:rPr>
                <w:rFonts w:ascii="仿宋_GB2312" w:hAnsi="仿宋_GB2312" w:cs="仿宋_GB2312" w:eastAsia="仿宋_GB2312"/>
                <w:sz w:val="21"/>
                <w:color w:val="000000"/>
              </w:rPr>
              <w:t>执行标准：GB/T1535-2017 一级标准</w:t>
            </w:r>
          </w:p>
          <w:p>
            <w:pPr>
              <w:pStyle w:val="null3"/>
              <w:ind w:right="15" w:firstLine="480"/>
              <w:jc w:val="left"/>
            </w:pPr>
            <w:r>
              <w:rPr>
                <w:rFonts w:ascii="仿宋_GB2312" w:hAnsi="仿宋_GB2312" w:cs="仿宋_GB2312" w:eastAsia="仿宋_GB2312"/>
                <w:sz w:val="21"/>
                <w:color w:val="000000"/>
              </w:rPr>
              <w:t>菜籽油执行标准：GB/T1520-2017 一级标准</w:t>
            </w:r>
          </w:p>
          <w:p>
            <w:pPr>
              <w:pStyle w:val="null3"/>
              <w:ind w:right="15" w:firstLine="480"/>
              <w:jc w:val="left"/>
            </w:pPr>
            <w:r>
              <w:rPr>
                <w:rFonts w:ascii="仿宋_GB2312" w:hAnsi="仿宋_GB2312" w:cs="仿宋_GB2312" w:eastAsia="仿宋_GB2312"/>
                <w:sz w:val="21"/>
                <w:color w:val="000000"/>
              </w:rPr>
              <w:t>花生油执行标准：GB/T1535-2017 一级标准</w:t>
            </w:r>
          </w:p>
          <w:p>
            <w:pPr>
              <w:pStyle w:val="null3"/>
              <w:ind w:right="15" w:firstLine="480"/>
              <w:jc w:val="left"/>
            </w:pPr>
            <w:r>
              <w:rPr>
                <w:rFonts w:ascii="仿宋_GB2312" w:hAnsi="仿宋_GB2312" w:cs="仿宋_GB2312" w:eastAsia="仿宋_GB2312"/>
                <w:sz w:val="21"/>
                <w:color w:val="000000"/>
              </w:rPr>
              <w:t>大米、面粉、食用油生产日期应控制在保质期三分之二以内。</w:t>
            </w:r>
          </w:p>
          <w:p>
            <w:pPr>
              <w:pStyle w:val="null3"/>
              <w:ind w:left="30" w:right="15" w:firstLine="482"/>
              <w:jc w:val="left"/>
            </w:pPr>
            <w:r>
              <w:rPr>
                <w:rFonts w:ascii="仿宋_GB2312" w:hAnsi="仿宋_GB2312" w:cs="仿宋_GB2312" w:eastAsia="仿宋_GB2312"/>
                <w:sz w:val="21"/>
                <w:color w:val="000000"/>
              </w:rPr>
              <w:t>2、包装要求</w:t>
            </w:r>
          </w:p>
          <w:p>
            <w:pPr>
              <w:pStyle w:val="null3"/>
              <w:ind w:left="30" w:right="15" w:firstLine="482"/>
              <w:jc w:val="left"/>
            </w:pPr>
            <w:r>
              <w:rPr>
                <w:rFonts w:ascii="仿宋_GB2312" w:hAnsi="仿宋_GB2312" w:cs="仿宋_GB2312" w:eastAsia="仿宋_GB2312"/>
                <w:sz w:val="21"/>
                <w:color w:val="000000"/>
              </w:rPr>
              <w:t>供应商所提供的产品必须是正规企业生产的品牌产品，产品包装比须是符合国家标准的环保材料。</w:t>
            </w:r>
          </w:p>
          <w:p>
            <w:pPr>
              <w:pStyle w:val="null3"/>
              <w:ind w:left="30" w:right="15" w:firstLine="482"/>
              <w:jc w:val="left"/>
            </w:pPr>
            <w:r>
              <w:rPr>
                <w:rFonts w:ascii="仿宋_GB2312" w:hAnsi="仿宋_GB2312" w:cs="仿宋_GB2312" w:eastAsia="仿宋_GB2312"/>
                <w:sz w:val="21"/>
                <w:color w:val="000000"/>
              </w:rPr>
              <w:t>3、配送要求</w:t>
            </w:r>
          </w:p>
          <w:p>
            <w:pPr>
              <w:pStyle w:val="null3"/>
              <w:ind w:left="30" w:right="15" w:firstLine="482"/>
              <w:jc w:val="left"/>
            </w:pPr>
            <w:r>
              <w:rPr>
                <w:rFonts w:ascii="仿宋_GB2312" w:hAnsi="仿宋_GB2312" w:cs="仿宋_GB2312" w:eastAsia="仿宋_GB2312"/>
                <w:sz w:val="21"/>
                <w:color w:val="000000"/>
              </w:rPr>
              <w:t>所供食材（叶菜类、根茎类、干货类、果菜、菌类、肉蛋类（鸡蛋除外）以 及豆制品）每天配送一次；调料类、大米、面粉、油每两周配送一次（具体配送 时间根据实际需求进行确定）；鸡蛋每周配送两次（具体配送时间根据 实际需求进行确定），供应商负责食材的运输配送，因运输装卸过程中造成的损耗（例如包装严重变形、破损、食品污染、变异等）、发现的破损、变异食品必须无条件一对一更换，否则不予结算。</w:t>
            </w:r>
          </w:p>
          <w:p>
            <w:pPr>
              <w:pStyle w:val="null3"/>
              <w:ind w:right="15" w:firstLine="236"/>
              <w:jc w:val="left"/>
            </w:pPr>
            <w:r>
              <w:rPr>
                <w:rFonts w:ascii="仿宋_GB2312" w:hAnsi="仿宋_GB2312" w:cs="仿宋_GB2312" w:eastAsia="仿宋_GB2312"/>
                <w:sz w:val="21"/>
                <w:color w:val="000000"/>
              </w:rPr>
              <w:t>四、服务要求</w:t>
            </w:r>
          </w:p>
          <w:p>
            <w:pPr>
              <w:pStyle w:val="null3"/>
              <w:ind w:left="30" w:right="15" w:firstLine="482"/>
              <w:jc w:val="left"/>
            </w:pPr>
            <w:r>
              <w:rPr>
                <w:rFonts w:ascii="仿宋_GB2312" w:hAnsi="仿宋_GB2312" w:cs="仿宋_GB2312" w:eastAsia="仿宋_GB2312"/>
                <w:sz w:val="21"/>
                <w:color w:val="000000"/>
              </w:rPr>
              <w:t>（一）服务人员的要求</w:t>
            </w:r>
          </w:p>
          <w:p>
            <w:pPr>
              <w:pStyle w:val="null3"/>
              <w:ind w:left="30" w:right="15" w:firstLine="482"/>
              <w:jc w:val="left"/>
            </w:pPr>
            <w:r>
              <w:rPr>
                <w:rFonts w:ascii="仿宋_GB2312" w:hAnsi="仿宋_GB2312" w:cs="仿宋_GB2312" w:eastAsia="仿宋_GB2312"/>
                <w:sz w:val="21"/>
                <w:color w:val="000000"/>
              </w:rPr>
              <w:t>1、厨务人员工作时间要求：早班 05:30— 13:30；晚班 16:00— 19:00。服务工作人员总人数13人</w:t>
            </w:r>
            <w:r>
              <w:rPr>
                <w:rFonts w:ascii="仿宋_GB2312" w:hAnsi="仿宋_GB2312" w:cs="仿宋_GB2312" w:eastAsia="仿宋_GB2312"/>
                <w:sz w:val="21"/>
                <w:color w:val="000000"/>
              </w:rPr>
              <w:t>-15人</w:t>
            </w:r>
            <w:r>
              <w:rPr>
                <w:rFonts w:ascii="仿宋_GB2312" w:hAnsi="仿宋_GB2312" w:cs="仿宋_GB2312" w:eastAsia="仿宋_GB2312"/>
                <w:sz w:val="21"/>
                <w:color w:val="000000"/>
              </w:rPr>
              <w:t>。</w:t>
            </w:r>
            <w:r>
              <w:rPr>
                <w:rFonts w:ascii="仿宋_GB2312" w:hAnsi="仿宋_GB2312" w:cs="仿宋_GB2312" w:eastAsia="仿宋_GB2312"/>
                <w:sz w:val="21"/>
                <w:color w:val="000000"/>
              </w:rPr>
              <w:t>餐饮服务团队应按岗位设置，并要求相应的证件，如身份证、健康证等。</w:t>
            </w:r>
          </w:p>
          <w:p>
            <w:pPr>
              <w:pStyle w:val="null3"/>
              <w:ind w:left="30" w:right="15" w:firstLine="482"/>
              <w:jc w:val="left"/>
            </w:pPr>
            <w:r>
              <w:rPr>
                <w:rFonts w:ascii="仿宋_GB2312" w:hAnsi="仿宋_GB2312" w:cs="仿宋_GB2312" w:eastAsia="仿宋_GB2312"/>
                <w:sz w:val="21"/>
                <w:color w:val="000000"/>
              </w:rPr>
              <w:t>2、管理级以上人员应具备 3 年以上的餐饮业相应管理服务经验，熟知厨房的运转与成本、安全控制。</w:t>
            </w:r>
          </w:p>
          <w:p>
            <w:pPr>
              <w:pStyle w:val="null3"/>
              <w:ind w:left="30" w:right="15" w:firstLine="482"/>
              <w:jc w:val="left"/>
            </w:pPr>
            <w:r>
              <w:rPr>
                <w:rFonts w:ascii="仿宋_GB2312" w:hAnsi="仿宋_GB2312" w:cs="仿宋_GB2312" w:eastAsia="仿宋_GB2312"/>
                <w:sz w:val="21"/>
                <w:color w:val="000000"/>
              </w:rPr>
              <w:t>3、厨师长、厨师具有 3 年（含 3 年）以上相应工作经验，厨师长提供3级或以上证书，保证出品及食品安全。团队人员中至少具备3个三级以上中式烹调师证书。</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4、所有服务人员应保证身体健康、无传染性疾病、无刑事违法或处分犯罪记录；服务人员按岗位统一着装，言行规范，文明礼貌；所有从业人员经过岗前培训、健康检查合格且拥有有效的健康证。</w:t>
            </w:r>
          </w:p>
          <w:p>
            <w:pPr>
              <w:pStyle w:val="null3"/>
            </w:pPr>
            <w:r>
              <w:rPr>
                <w:rFonts w:ascii="仿宋_GB2312" w:hAnsi="仿宋_GB2312" w:cs="仿宋_GB2312" w:eastAsia="仿宋_GB2312"/>
                <w:sz w:val="21"/>
                <w:color w:val="000000"/>
              </w:rPr>
              <w:t>（二）服务工作的要求</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color w:val="000000"/>
              </w:rPr>
              <w:t>1、承包方根据本项目的用餐人数、规模及医院要求，提供完善的运营服务方案，制定健全的防鼠、防蝇、防蚊、防蟑螂、防尘等措施，确保餐厅的食品质量、安全卫生、环保节能、治安消防，确保餐厅的正常运营和规范服务。</w:t>
            </w:r>
          </w:p>
          <w:p>
            <w:pPr>
              <w:pStyle w:val="null3"/>
              <w:ind w:right="15" w:firstLine="480"/>
              <w:jc w:val="left"/>
            </w:pPr>
            <w:r>
              <w:rPr>
                <w:rFonts w:ascii="仿宋_GB2312" w:hAnsi="仿宋_GB2312" w:cs="仿宋_GB2312" w:eastAsia="仿宋_GB2312"/>
                <w:sz w:val="21"/>
                <w:color w:val="000000"/>
              </w:rPr>
              <w:t>2、承包方须严格按照食品安全法对每餐出品进行留样，并认真填写食品留样登记表。</w:t>
            </w:r>
          </w:p>
          <w:p>
            <w:pPr>
              <w:pStyle w:val="null3"/>
              <w:ind w:right="15" w:firstLine="472"/>
              <w:jc w:val="left"/>
            </w:pPr>
            <w:r>
              <w:rPr>
                <w:rFonts w:ascii="仿宋_GB2312" w:hAnsi="仿宋_GB2312" w:cs="仿宋_GB2312" w:eastAsia="仿宋_GB2312"/>
                <w:sz w:val="21"/>
                <w:color w:val="000000"/>
              </w:rPr>
              <w:t>3、承包方按照国家的相关规定及采购人要求，统一处理产生的残食、泔水、垃圾。</w:t>
            </w:r>
          </w:p>
          <w:p>
            <w:pPr>
              <w:pStyle w:val="null3"/>
              <w:ind w:left="30" w:right="15" w:firstLine="482"/>
              <w:jc w:val="left"/>
            </w:pPr>
            <w:r>
              <w:rPr>
                <w:rFonts w:ascii="仿宋_GB2312" w:hAnsi="仿宋_GB2312" w:cs="仿宋_GB2312" w:eastAsia="仿宋_GB2312"/>
                <w:sz w:val="21"/>
                <w:color w:val="000000"/>
              </w:rPr>
              <w:t>4、餐厅运营所使用的餐巾纸、清洁用品（拖把、抹布、垃圾袋、清洁剂消毒剂等）的购买及承担所产生的费用由承包方负责。</w:t>
            </w:r>
          </w:p>
          <w:p>
            <w:pPr>
              <w:pStyle w:val="null3"/>
              <w:ind w:left="30" w:right="15" w:firstLine="482"/>
              <w:jc w:val="left"/>
            </w:pPr>
            <w:r>
              <w:rPr>
                <w:rFonts w:ascii="仿宋_GB2312" w:hAnsi="仿宋_GB2312" w:cs="仿宋_GB2312" w:eastAsia="仿宋_GB2312"/>
                <w:sz w:val="21"/>
                <w:color w:val="000000"/>
              </w:rPr>
              <w:t>5、由承包方负责办理《食品经营许可证》等相关证照，医院协助提供办理所需材料。</w:t>
            </w:r>
          </w:p>
          <w:p>
            <w:pPr>
              <w:pStyle w:val="null3"/>
              <w:ind w:left="30" w:right="15" w:firstLine="482"/>
              <w:jc w:val="left"/>
            </w:pPr>
            <w:r>
              <w:rPr>
                <w:rFonts w:ascii="仿宋_GB2312" w:hAnsi="仿宋_GB2312" w:cs="仿宋_GB2312" w:eastAsia="仿宋_GB2312"/>
                <w:sz w:val="21"/>
                <w:color w:val="000000"/>
              </w:rPr>
              <w:t>6、根据《食品安全法》、《餐饮服务食品采购索证索票管理规定》的要求，承包方采购食品原料时应按照有关要求进行索证索票，并做好采购验收记录，便于溯源；按照要求如实登记相关索证信息，不得涂改或作虚假记录，并指定专人妥善保管，保存期限不少于二年；索取的相关证件、票据应妥善保存，并与记录内容相对应，便于核查。</w:t>
            </w:r>
          </w:p>
          <w:p>
            <w:pPr>
              <w:pStyle w:val="null3"/>
              <w:ind w:left="30" w:right="15" w:firstLine="482"/>
              <w:jc w:val="left"/>
            </w:pPr>
            <w:r>
              <w:rPr>
                <w:rFonts w:ascii="仿宋_GB2312" w:hAnsi="仿宋_GB2312" w:cs="仿宋_GB2312" w:eastAsia="仿宋_GB2312"/>
                <w:sz w:val="21"/>
                <w:color w:val="000000"/>
              </w:rPr>
              <w:t>7、承包方管理不当或其他原因造成的火灾、触电、食物中毒等安全责任事故，由此造成的损失或伤害由承包方承担相关责任及费用。</w:t>
            </w:r>
          </w:p>
          <w:p>
            <w:pPr>
              <w:pStyle w:val="null3"/>
              <w:ind w:left="30" w:right="15" w:firstLine="482"/>
              <w:jc w:val="left"/>
            </w:pPr>
            <w:r>
              <w:rPr>
                <w:rFonts w:ascii="仿宋_GB2312" w:hAnsi="仿宋_GB2312" w:cs="仿宋_GB2312" w:eastAsia="仿宋_GB2312"/>
                <w:sz w:val="21"/>
                <w:color w:val="000000"/>
              </w:rPr>
              <w:t>8、因承包方工作人员无法达到采购人管理服务要求，应对人员进行处理、调换，以确保采购需求及服务得以最佳实现。</w:t>
            </w:r>
          </w:p>
          <w:p>
            <w:pPr>
              <w:pStyle w:val="null3"/>
              <w:ind w:left="30" w:right="15" w:firstLine="482"/>
              <w:jc w:val="left"/>
            </w:pPr>
            <w:r>
              <w:rPr>
                <w:rFonts w:ascii="仿宋_GB2312" w:hAnsi="仿宋_GB2312" w:cs="仿宋_GB2312" w:eastAsia="仿宋_GB2312"/>
                <w:sz w:val="21"/>
                <w:color w:val="000000"/>
              </w:rPr>
              <w:t>9、医院每季度对餐厅安全、卫生、菜品质量、服务态度等方面工作进行一次考核。</w:t>
            </w:r>
          </w:p>
          <w:p>
            <w:pPr>
              <w:pStyle w:val="null3"/>
              <w:ind w:left="30" w:right="15" w:firstLine="482"/>
              <w:jc w:val="left"/>
            </w:pPr>
            <w:r>
              <w:rPr>
                <w:rFonts w:ascii="仿宋_GB2312" w:hAnsi="仿宋_GB2312" w:cs="仿宋_GB2312" w:eastAsia="仿宋_GB2312"/>
                <w:sz w:val="21"/>
                <w:color w:val="000000"/>
              </w:rPr>
              <w:t>10、承包方在合同履行期间，不能按照其投标文件响应及合同要求进行履约的，医院有权随时终止合同，由此带来的一切损失由承包方自行承担。</w:t>
            </w:r>
          </w:p>
          <w:p>
            <w:pPr>
              <w:pStyle w:val="null3"/>
              <w:ind w:left="30" w:right="15" w:firstLine="482"/>
              <w:jc w:val="left"/>
            </w:pPr>
            <w:r>
              <w:rPr>
                <w:rFonts w:ascii="仿宋_GB2312" w:hAnsi="仿宋_GB2312" w:cs="仿宋_GB2312" w:eastAsia="仿宋_GB2312"/>
                <w:sz w:val="21"/>
                <w:color w:val="000000"/>
              </w:rPr>
              <w:t>11、自合同签订之日起，由承包方负责保障上、下班期间员工安全，并购买商业保险所产生的费用由承包方自行承担。</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、重大公共卫生安全事件，承包方需具有应对能力，并针对事件按照国家要求做相应检测、防护措施，所产生的费用由承包方自行承担。</w:t>
            </w:r>
          </w:p>
          <w:p>
            <w:pPr>
              <w:pStyle w:val="null3"/>
              <w:ind w:left="30" w:right="15" w:firstLine="482"/>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自合同签订之日起1年，1年后根据服务考核情况可续签，续签不超过2年。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1、甲方违反本劳务协议给乙方造成损失，应给予适当赔偿。 2、乙方在协议期间内损坏医院餐厅资产，照价赔偿。违反 相关法律及造成安全事故，除承担经济赔偿外，应承担相应的法律责任。 本合同未尽事宜，双方协商处理，协商不成时，由 铜川市仲裁委员会仲裁。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 磋商响应文件，中标供应商线下提交纸质磋商响应文件正本一份、副本二份，电子版本一份（U盘一套标明供应商名称，随正 本密封）。中标供应商应将纸质磋商响应文件正本、所有副本单独密封在封袋中（封袋不得有破损）。封袋应加贴封条，并在 封线处加盖供应商公章和法定代表人章或委托代理人签字。若线上电子响应文件与纸质响应文件不一致的，以线上电子响应文 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 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网站（www.creditchina.gov.cn）和“ 中国政府采购网”（www.ccgp-shaanxi.gov.cn）列入失信被执行人、重大税收违法案件当事人名单、政府采购严重违法失信行为记录名单。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供应商应提交的相关资格证明材料.pdf 服务方案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依据采购文件规定，从响应文件的有效性、完整性和响应程度进行审查。出现下列情况之一（但不限于）不得进入评审环节：（1）投标人的投标报价超过采购预算或最高限价的； （2）响应文件未按采购文件要求的数量、语言、计 量单位、报价货币及签字盖章；（3）无投标有效期或有效期达不到采购文件要求的；（4）响应文件附加了采购人难以接受的条件或条款的；（5）响应文件未实质性响应采购文件要求的；（6）不符合法律、法规和采购文件中规定的 其他实质性要求的。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服务方案 标的清单 报价表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 务 方 案</w:t>
            </w:r>
          </w:p>
        </w:tc>
        <w:tc>
          <w:tcPr>
            <w:tcW w:type="dxa" w:w="2492"/>
          </w:tcPr>
          <w:p>
            <w:pPr>
              <w:pStyle w:val="null3"/>
            </w:pPr>
            <w:r>
              <w:rPr>
                <w:rFonts w:ascii="仿宋_GB2312" w:hAnsi="仿宋_GB2312" w:cs="仿宋_GB2312" w:eastAsia="仿宋_GB2312"/>
              </w:rPr>
              <w:t>供应商针对本项目有科学、合理、详细的服务方案，方案内容必须包含服务内容、服务要 求、服务标准、技术要求等，餐厅伙食保障任务方案合理，条理清楚、内容全面，工作细 节具体，具有可操作性的计15-20分；方案全面不够详细、具有可操作性计8-15分；方案 不够全面详细、可操作性一般计5-8分；方案简单，内容空泛，复制采购人服务要求的计1 -5分，未提供不计分。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项 目 管 理 方 案</w:t>
            </w:r>
          </w:p>
        </w:tc>
        <w:tc>
          <w:tcPr>
            <w:tcW w:type="dxa" w:w="2492"/>
          </w:tcPr>
          <w:p>
            <w:pPr>
              <w:pStyle w:val="null3"/>
            </w:pPr>
            <w:r>
              <w:rPr>
                <w:rFonts w:ascii="仿宋_GB2312" w:hAnsi="仿宋_GB2312" w:cs="仿宋_GB2312" w:eastAsia="仿宋_GB2312"/>
              </w:rPr>
              <w:t>1、针对本项目有健全、规范的管理方案（包括但不限于各岗位责任制度、监督制度等） ：公司各管理制度完善、程序规范，可操作性强，完全满足采购人需求计2-3分；公司各 管理制度基本完善，基本满足采购人需求计1-2分。 2、编制项目管理机构、工作职能组 织运行图，阐述各岗位考评细则与制度标准，考核标准健全计2-3分，考核制度基本完善 ，基本满足采购人需求计1-2分。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厨 务 操 作 及 具 体 措 施 执 行 方 案</w:t>
            </w:r>
          </w:p>
        </w:tc>
        <w:tc>
          <w:tcPr>
            <w:tcW w:type="dxa" w:w="2492"/>
          </w:tcPr>
          <w:p>
            <w:pPr>
              <w:pStyle w:val="null3"/>
            </w:pPr>
            <w:r>
              <w:rPr>
                <w:rFonts w:ascii="仿宋_GB2312" w:hAnsi="仿宋_GB2312" w:cs="仿宋_GB2312" w:eastAsia="仿宋_GB2312"/>
              </w:rPr>
              <w:t>供应商根据对本项目的厨务操作及具体措施等提供相应执行方案，方案完善全面、合理可 行、可操作性强计6-8分，方案不够全面、具有可操作性计3-6分，方案简单，内容空泛， 不具备可操作性1-3分，未提供不得分。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应 急 预 案</w:t>
            </w:r>
          </w:p>
        </w:tc>
        <w:tc>
          <w:tcPr>
            <w:tcW w:type="dxa" w:w="2492"/>
          </w:tcPr>
          <w:p>
            <w:pPr>
              <w:pStyle w:val="null3"/>
            </w:pPr>
            <w:r>
              <w:rPr>
                <w:rFonts w:ascii="仿宋_GB2312" w:hAnsi="仿宋_GB2312" w:cs="仿宋_GB2312" w:eastAsia="仿宋_GB2312"/>
              </w:rPr>
              <w:t>供应商提供针对本项目停水、停气、停电、消防安全、食物中毒、等突发事件的应急预案 ，方案完整合理，可行性强计3-7分；方案一般，具有可行性计1-3分，未提供不计分。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成 本 控 制 措 施</w:t>
            </w:r>
          </w:p>
        </w:tc>
        <w:tc>
          <w:tcPr>
            <w:tcW w:type="dxa" w:w="2492"/>
          </w:tcPr>
          <w:p>
            <w:pPr>
              <w:pStyle w:val="null3"/>
            </w:pPr>
            <w:r>
              <w:rPr>
                <w:rFonts w:ascii="仿宋_GB2312" w:hAnsi="仿宋_GB2312" w:cs="仿宋_GB2312" w:eastAsia="仿宋_GB2312"/>
              </w:rPr>
              <w:t>供应商针对本项目有成本控制措施，措施合理可行计4-6分；措施基本可行计2-4分；措施 缺乏可行性计1-2分，未提供不计分。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功 能 区 划 分</w:t>
            </w:r>
          </w:p>
        </w:tc>
        <w:tc>
          <w:tcPr>
            <w:tcW w:type="dxa" w:w="2492"/>
          </w:tcPr>
          <w:p>
            <w:pPr>
              <w:pStyle w:val="null3"/>
            </w:pPr>
            <w:r>
              <w:rPr>
                <w:rFonts w:ascii="仿宋_GB2312" w:hAnsi="仿宋_GB2312" w:cs="仿宋_GB2312" w:eastAsia="仿宋_GB2312"/>
              </w:rPr>
              <w:t>根据供应商提供的食物功能区的划分，各功能区的配餐方案，从科学营养，便利、价格合 理等方面，方案科学合理，可行性强计4-6分，方案合理具有可行性计2-4分，方案简单， 不具备可行性计1-2分，未提供不计分。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节 假 日 的 服 务 保 障 方 案</w:t>
            </w:r>
          </w:p>
        </w:tc>
        <w:tc>
          <w:tcPr>
            <w:tcW w:type="dxa" w:w="2492"/>
          </w:tcPr>
          <w:p>
            <w:pPr>
              <w:pStyle w:val="null3"/>
            </w:pPr>
            <w:r>
              <w:rPr>
                <w:rFonts w:ascii="仿宋_GB2312" w:hAnsi="仿宋_GB2312" w:cs="仿宋_GB2312" w:eastAsia="仿宋_GB2312"/>
              </w:rPr>
              <w:t>针对节假日的服务保障方案，根据服务保障方案的完整性计1-2分，未提供不计分。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人 员 配 置</w:t>
            </w:r>
          </w:p>
        </w:tc>
        <w:tc>
          <w:tcPr>
            <w:tcW w:type="dxa" w:w="2492"/>
          </w:tcPr>
          <w:p>
            <w:pPr>
              <w:pStyle w:val="null3"/>
            </w:pPr>
            <w:r>
              <w:rPr>
                <w:rFonts w:ascii="仿宋_GB2312" w:hAnsi="仿宋_GB2312" w:cs="仿宋_GB2312" w:eastAsia="仿宋_GB2312"/>
              </w:rPr>
              <w:t>供应商针对本项目所配工作人员：管理级以上人员应具备 3 年以上的餐饮业相应管理服务 经验，熟知厨房的运转与成本、安全控制；厨师长、厨师具有 3 年（含 3 年）以上相应 工作经验，厨师长提供3级或以上证书，保证出品及食品安全，团队人员中至少具备3个三 级或以上中式烹调师证书； 所有服务人员应保证身体健康、无传染性疾病、无刑事违法或 处分犯罪记录，服务人员按岗位统一着装，言行规范，文明礼貌，所有从业人员经过岗前 培训、健康检查合格且拥有有效的健康证。 描述内容详细、全面计10-15分，人员配置基 本齐全，且提供基本人员描述计5-10分；人员配置欠缺，描述内容不全面计1-5分，未提 供不计分。 以上证明材料提供复印件加盖公章装订在响应文件中。</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相 关 业 绩</w:t>
            </w:r>
          </w:p>
        </w:tc>
        <w:tc>
          <w:tcPr>
            <w:tcW w:type="dxa" w:w="2492"/>
          </w:tcPr>
          <w:p>
            <w:pPr>
              <w:pStyle w:val="null3"/>
            </w:pPr>
            <w:r>
              <w:rPr>
                <w:rFonts w:ascii="仿宋_GB2312" w:hAnsi="仿宋_GB2312" w:cs="仿宋_GB2312" w:eastAsia="仿宋_GB2312"/>
              </w:rPr>
              <w:t>提供供应商三年内（含三年）同类项目合同（以合同签订日期为准），每提供1个得1分， 最高得3分。 备注：响应文件中提供合同复印件加盖公章。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服 务 需 求</w:t>
            </w:r>
          </w:p>
        </w:tc>
        <w:tc>
          <w:tcPr>
            <w:tcW w:type="dxa" w:w="2492"/>
          </w:tcPr>
          <w:p>
            <w:pPr>
              <w:pStyle w:val="null3"/>
            </w:pPr>
            <w:r>
              <w:rPr>
                <w:rFonts w:ascii="仿宋_GB2312" w:hAnsi="仿宋_GB2312" w:cs="仿宋_GB2312" w:eastAsia="仿宋_GB2312"/>
              </w:rPr>
              <w:t>供应商对餐品品类及标准、就餐形式以及对该餐厅服务需求掌握熟练、全面、合理计2分 ，对该餐厅服务需求掌握不够熟练、模糊计1分，未提供不得分。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服 务 承 诺</w:t>
            </w:r>
          </w:p>
        </w:tc>
        <w:tc>
          <w:tcPr>
            <w:tcW w:type="dxa" w:w="2492"/>
          </w:tcPr>
          <w:p>
            <w:pPr>
              <w:pStyle w:val="null3"/>
            </w:pPr>
            <w:r>
              <w:rPr>
                <w:rFonts w:ascii="仿宋_GB2312" w:hAnsi="仿宋_GB2312" w:cs="仿宋_GB2312" w:eastAsia="仿宋_GB2312"/>
              </w:rPr>
              <w:t>针对本项目的服务承诺（包括但不限于食品安全承诺、消防安全承诺、食堂环境卫生承诺 、依法用工承诺、厨房设备安全运行承诺、菜品保障承诺）及其他合理化建议及意见，根 据承诺完整合理可行性计1-5分，未提供不计分。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 基准价，其价格分为满分。其他供应商的价格分统一按照下列公式计算： 价格分=(评标 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