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版本号：ZCSP-耀州区-2025-0020720250928001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铜川市耀州区档案馆消防维修改造提升项目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ZCSP-耀州区-2025-00207</w:t>
      </w:r>
      <w:r>
        <w:br/>
      </w:r>
      <w:r>
        <w:br/>
      </w:r>
      <w:r>
        <w:br/>
      </w:r>
    </w:p>
    <w:p>
      <w:pPr>
        <w:pStyle w:val="null3"/>
        <w:jc w:val="center"/>
        <w:outlineLvl w:val="2"/>
      </w:pPr>
      <w:r>
        <w:rPr>
          <w:rFonts w:ascii="仿宋_GB2312" w:hAnsi="仿宋_GB2312" w:cs="仿宋_GB2312" w:eastAsia="仿宋_GB2312"/>
          <w:sz w:val="28"/>
          <w:b/>
        </w:rPr>
        <w:t>铜川市耀州区机关事务管理服务中心</w:t>
      </w:r>
    </w:p>
    <w:p>
      <w:pPr>
        <w:pStyle w:val="null3"/>
        <w:jc w:val="center"/>
        <w:outlineLvl w:val="2"/>
      </w:pPr>
      <w:r>
        <w:rPr>
          <w:rFonts w:ascii="仿宋_GB2312" w:hAnsi="仿宋_GB2312" w:cs="仿宋_GB2312" w:eastAsia="仿宋_GB2312"/>
          <w:sz w:val="28"/>
          <w:b/>
        </w:rPr>
        <w:t>陕西山河建设项目管理有限公司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陕西山河建设项目管理有限公司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铜川市耀州区机关事务管理服务中心</w:t>
      </w:r>
      <w:r>
        <w:rPr>
          <w:rFonts w:ascii="仿宋_GB2312" w:hAnsi="仿宋_GB2312" w:cs="仿宋_GB2312" w:eastAsia="仿宋_GB2312"/>
        </w:rPr>
        <w:t>委托，拟对</w:t>
      </w:r>
      <w:r>
        <w:rPr>
          <w:rFonts w:ascii="仿宋_GB2312" w:hAnsi="仿宋_GB2312" w:cs="仿宋_GB2312" w:eastAsia="仿宋_GB2312"/>
        </w:rPr>
        <w:t>铜川市耀州区档案馆消防维修改造提升项目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ZCSP-耀州区-2025-00207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铜川市耀州区档案馆消防维修改造提升项目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整改区档案馆消防存在的问题，依据专业人士的整改设计和预算，按时完成消防整改，顺利通过专家组的复检。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采购包1（铜川市耀州区档案馆消防维修改造提升项目）：属于专门面向小微企业采购。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2、资质证书：须具有消防设施工程专业承包二级及以上资质证书，建设行政主管部门颁发的安全生产许可证。</w:t>
      </w:r>
    </w:p>
    <w:p>
      <w:pPr>
        <w:pStyle w:val="null3"/>
      </w:pPr>
      <w:r>
        <w:rPr>
          <w:rFonts w:ascii="仿宋_GB2312" w:hAnsi="仿宋_GB2312" w:cs="仿宋_GB2312" w:eastAsia="仿宋_GB2312"/>
        </w:rPr>
        <w:t>3、项目负责人：拟派项目经理须具备二级建造师及以上执业资格（机电工程专业），在本单位注册且未担任其他在建工程项目的项目经理；技术负责人须具有中级（含中级）以上职称，企业负责人、项目经理、专职安全员须具有行政主管部门颁发的有效的安全考核合格证书。</w:t>
      </w:r>
    </w:p>
    <w:p>
      <w:pPr>
        <w:pStyle w:val="null3"/>
      </w:pPr>
      <w:r>
        <w:rPr>
          <w:rFonts w:ascii="仿宋_GB2312" w:hAnsi="仿宋_GB2312" w:cs="仿宋_GB2312" w:eastAsia="仿宋_GB2312"/>
        </w:rPr>
        <w:t>4、法定代表人授权委托书：法定代表人参加磋商的，须出示身份证；法定代表人授权他人参加磋商的，须提供法定代表人授权委托书、被授权人提交响应文件截止时间前半年内任意一个月的社会保障资金（养老保险或医疗保险）缴纳证明或有效期内的劳动合同及被授权人身份证。</w:t>
      </w:r>
    </w:p>
    <w:p>
      <w:pPr>
        <w:pStyle w:val="null3"/>
      </w:pPr>
      <w:r>
        <w:rPr>
          <w:rFonts w:ascii="仿宋_GB2312" w:hAnsi="仿宋_GB2312" w:cs="仿宋_GB2312" w:eastAsia="仿宋_GB2312"/>
        </w:rPr>
        <w:t>5、财务状况报告：须提供近3年任意一年度具有财务审计资质的单位出具的财务报告（至少包括资产负债表和利润表，成立时间至提交投标文件截止时间不足一年的可提供成立后任意时段的资产负债表）或其开标前六个月内基本户开户银行出具的资信证明。</w:t>
      </w:r>
    </w:p>
    <w:p>
      <w:pPr>
        <w:pStyle w:val="null3"/>
      </w:pPr>
      <w:r>
        <w:rPr>
          <w:rFonts w:ascii="仿宋_GB2312" w:hAnsi="仿宋_GB2312" w:cs="仿宋_GB2312" w:eastAsia="仿宋_GB2312"/>
        </w:rPr>
        <w:t>6、社会保障资金缴纳证明：提供近一年内已缴存的至少一个月的社会保障资金缴存单据或社保机构开具的社会保险参保缴费情况证明，依法不需要缴纳社会保障资金的供应商应提供相关文件证明。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7、税收缴纳证明：提供近一年内已缴纳的至少一个月的纳税证明或完税证明，纳税证明或完税证明上应有代收机构或税务机关的公章，依法免税的供应商应提供相关文件证明。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8、信誉要求：不得为“信用中国”网站（www.creditchina.gov.cn）列入失信被执行人、重大税收违法失信主体记录名单的供应商；不得为“中国政府采购网”（www.ccgp.gov.cn）政府采购严重违法失信行为记录名单中的供应商。</w:t>
      </w:r>
    </w:p>
    <w:p>
      <w:pPr>
        <w:pStyle w:val="null3"/>
      </w:pPr>
      <w:r>
        <w:rPr>
          <w:rFonts w:ascii="仿宋_GB2312" w:hAnsi="仿宋_GB2312" w:cs="仿宋_GB2312" w:eastAsia="仿宋_GB2312"/>
        </w:rPr>
        <w:t>9、书面声明：参加政府采购活动前3年内在经营活动中没有重大违法记录的书面声明。</w:t>
      </w:r>
    </w:p>
    <w:p>
      <w:pPr>
        <w:pStyle w:val="null3"/>
      </w:pPr>
      <w:r>
        <w:rPr>
          <w:rFonts w:ascii="仿宋_GB2312" w:hAnsi="仿宋_GB2312" w:cs="仿宋_GB2312" w:eastAsia="仿宋_GB2312"/>
        </w:rPr>
        <w:t>10、书面承诺：提供具有履行本合同所必需的设备和专业技术能力的声明、参加政府采购活动前3年内在经营活动中没有重大违法记录的书面承诺。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铜川市耀州区机关事务管理服务中心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耀州区文营西路81号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吴灵肖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18710733017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陕西山河建设项目管理有限公司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铜川市新区金谟西路崇文街52号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0919-3195800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采购包1：1,529,400.00元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代理服务费收费标准：参照国家计委颁发的《招标代理服务管理暂行办法》（计价格【2002】1980号）、发改办计价格[2003]857号文件及发改价格【2011】534号及陕价行发【2014】88号文件文件规定的收费标准计算。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铜川市耀州区机关事务管理服务中心</w:t>
      </w:r>
      <w:r>
        <w:rPr>
          <w:rFonts w:ascii="仿宋_GB2312" w:hAnsi="仿宋_GB2312" w:cs="仿宋_GB2312" w:eastAsia="仿宋_GB2312"/>
        </w:rPr>
        <w:t>和</w:t>
      </w:r>
      <w:r>
        <w:rPr>
          <w:rFonts w:ascii="仿宋_GB2312" w:hAnsi="仿宋_GB2312" w:cs="仿宋_GB2312" w:eastAsia="仿宋_GB2312"/>
        </w:rPr>
        <w:t>陕西山河建设项目管理有限公司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铜川市耀州区机关事务管理服务中心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陕西山河建设项目管理有限公司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铜川市耀州区机关事务管理服务中心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陕西山河建设项目管理有限公司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结算按实际发生的工程量据实结算，最终以施工合同、竣工图纸、设计变更、现场签证、洽商文件及供应商投标承诺、采购文件、答疑纪要、经修订的工程量清单、响应文件以及相关法律、法规和文件等为依据进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联系人：李沛</w:t>
      </w:r>
    </w:p>
    <w:p>
      <w:pPr>
        <w:pStyle w:val="null3"/>
      </w:pPr>
      <w:r>
        <w:rPr>
          <w:rFonts w:ascii="仿宋_GB2312" w:hAnsi="仿宋_GB2312" w:cs="仿宋_GB2312" w:eastAsia="仿宋_GB2312"/>
        </w:rPr>
        <w:t>联系电话：0919-3195800</w:t>
      </w:r>
    </w:p>
    <w:p>
      <w:pPr>
        <w:pStyle w:val="null3"/>
      </w:pPr>
      <w:r>
        <w:rPr>
          <w:rFonts w:ascii="仿宋_GB2312" w:hAnsi="仿宋_GB2312" w:cs="仿宋_GB2312" w:eastAsia="仿宋_GB2312"/>
        </w:rPr>
        <w:t>地址：铜川市新区金谟西路52号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1,529,400.00</w:t>
      </w:r>
    </w:p>
    <w:p>
      <w:pPr>
        <w:pStyle w:val="null3"/>
      </w:pPr>
      <w:r>
        <w:rPr>
          <w:rFonts w:ascii="仿宋_GB2312" w:hAnsi="仿宋_GB2312" w:cs="仿宋_GB2312" w:eastAsia="仿宋_GB2312"/>
        </w:rPr>
        <w:t>采购包最高限价（元）: 1,529,400.00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铜川市耀州区档案馆消防维修改造提升项目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1,529,400.00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标的名称：铜川市耀州区档案馆消防维修改造提升项目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采购包</w:t>
            </w:r>
            <w:r>
              <w:rPr>
                <w:rFonts w:ascii="仿宋_GB2312" w:hAnsi="仿宋_GB2312" w:cs="仿宋_GB2312" w:eastAsia="仿宋_GB2312"/>
                <w:sz w:val="21"/>
              </w:rPr>
              <w:t>1</w:t>
            </w:r>
            <w:r>
              <w:rPr>
                <w:rFonts w:ascii="仿宋_GB2312" w:hAnsi="仿宋_GB2312" w:cs="仿宋_GB2312" w:eastAsia="仿宋_GB2312"/>
                <w:sz w:val="21"/>
              </w:rPr>
              <w:t>为铜川市耀州区档案馆消防维修改造项目，标包预算</w:t>
            </w:r>
            <w:r>
              <w:rPr>
                <w:rFonts w:ascii="仿宋_GB2312" w:hAnsi="仿宋_GB2312" w:cs="仿宋_GB2312" w:eastAsia="仿宋_GB2312"/>
                <w:sz w:val="21"/>
              </w:rPr>
              <w:t>1529400.00</w:t>
            </w:r>
            <w:r>
              <w:rPr>
                <w:rFonts w:ascii="仿宋_GB2312" w:hAnsi="仿宋_GB2312" w:cs="仿宋_GB2312" w:eastAsia="仿宋_GB2312"/>
                <w:sz w:val="21"/>
              </w:rPr>
              <w:t>元，具体施工内容详见本采购包工程量清单。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认真按照国家颁发的施工验收规范及采购人要求进行施工，并应接受监理工程师或采购人代表的检查、检验。供应商应为监理工程师或采购人代表检查提供便利条件，对不合格的部分按监理工程师或采购人代表的要求返工修改，承担由自身原因导致返工修改的费用。 2、供应商对材料、设备的改变或代用品必须经采购人同意，并发正式书面通知，经监理工程师或采购人代表签证后，方可用于工程；任何一方认为对方提供的材料需要复检的，应允许复检，复检符合要求后，方可用于工程，其复检费由要求复检的一方承担，不符合要求的，其复检费由提供材料、设备一方承担。 3、工程施工完成后，供应商应及时办理验收等一切相关手续。工程经验收合格后移交给采购人。</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程结算按实际发生的工程量据实结算，最终以施工合同、竣工图纸、设计变更、现场签证、洽商文件及供应商投标承诺、采购文件、答疑纪要、经修订的工程量清单、响应文件以及相关法律、法规和文件等为依据进行；2、项目完工后，铜川市耀州区住房和城乡建设局组织消防技术专家到现场进行复检，复检合格后进行验收；验收结束后，验收人员出具验收报告并签字，验收报告将列明各项标准的验收情况及项目总体评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残疾人福利性单位声明函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法定代表人证明书与法定代表人授权书.docx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响应文件封面 投标函.docx 法定代表人证明书与法定代表人授权书.docx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须具有消防设施工程专业承包二级及以上资质证书，建设行政主管部门颁发的安全生产许可证。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经理须具备二级建造师及以上执业资格（机电工程专业），在本单位注册且未担任其他在建工程项目的项目经理；技术负责人须具有中级（含中级）以上职称，企业负责人、项目经理、专职安全员须具有行政主管部门颁发的有效的安全考核合格证书。</w:t>
            </w:r>
          </w:p>
        </w:tc>
        <w:tc>
          <w:tcPr>
            <w:tcW w:type="dxa" w:w="1661"/>
          </w:tcPr>
          <w:p>
            <w:pPr>
              <w:pStyle w:val="null3"/>
            </w:pPr>
            <w:r>
              <w:rPr>
                <w:rFonts w:ascii="仿宋_GB2312" w:hAnsi="仿宋_GB2312" w:cs="仿宋_GB2312" w:eastAsia="仿宋_GB2312"/>
              </w:rPr>
              <w:t>拟投入本项目的人员配备情况.docx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他人参加磋商的，须提供法定代表人授权委托书、被授权人提交响应文件截止时间前半年内任意一个月的社会保障资金（养老保险或医疗保险）缴纳证明或有效期内的劳动合同及被授权人身份证。</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近3年任意一年度具有财务审计资质的单位出具的财务报告（至少包括资产负债表和利润表，成立时间至提交投标文件截止时间不足一年的可提供成立后任意时段的资产负债表）或其开标前六个月内基本户开户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提供近一年内已缴存的至少一个月的社会保障资金缴存单据或社保机构开具的社会保险参保缴费情况证明，依法不需要缴纳社会保障资金的供应商应提供相关文件证明。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提供近一年内已缴纳的至少一个月的纳税证明或完税证明，纳税证明或完税证明上应有代收机构或税务机关的公章，依法免税的供应商应提供相关文件证明。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不得为“信用中国”网站（www.creditchina.gov.cn）列入失信被执行人、重大税收违法失信主体记录名单的供应商；不得为“中国政府采购网”（www.ccgp.gov.cn）政府采购严重违法失信行为记录名单中的供应商。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对磋商文件及合同条款的承诺.docx 供应商资格证明文件.docx 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提供具有履行本合同所必需的设备和专业技术能力的声明、参加政府采购活动前3年内在经营活动中没有重大违法记录的书面承诺。</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投标函.docx 报价函 标的清单 响应报价表.docx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根据供应商提供的施工组织布置赋分，完全满足本项目实际需求且操作性强得(3-5]分，基本满足本项目需求得(3-0）分，不满足本项目需求得0分。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响应实施方案说明.docx</w:t>
            </w:r>
          </w:p>
        </w:tc>
      </w:tr>
      <w:tr>
        <w:tc>
          <w:tcPr>
            <w:tcW w:type="dxa" w:w="831"/>
            <w:vMerge/>
          </w:tcP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根据项目的实施内容，对项目背景进行分析说明，针对会议室的维修改造等制定合理、完善、操作性强的实施方案，方案完备、合理、切实可行的计 15-25（含）分；方案一般，具有一定可行性计5-15分（含）；方案粗略、简单计 0-5（含）分。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响应实施方案说明.docx</w:t>
            </w:r>
          </w:p>
        </w:tc>
      </w:tr>
      <w:tr>
        <w:tc>
          <w:tcPr>
            <w:tcW w:type="dxa" w:w="831"/>
            <w:vMerge/>
          </w:tcPr>
          <w:p/>
        </w:tc>
        <w:tc>
          <w:tcPr>
            <w:tcW w:type="dxa" w:w="1661"/>
          </w:tcPr>
          <w:p>
            <w:pPr>
              <w:pStyle w:val="null3"/>
            </w:pPr>
            <w:r>
              <w:rPr>
                <w:rFonts w:ascii="仿宋_GB2312" w:hAnsi="仿宋_GB2312" w:cs="仿宋_GB2312" w:eastAsia="仿宋_GB2312"/>
              </w:rPr>
              <w:t>质量保证体系及保障措施</w:t>
            </w:r>
          </w:p>
        </w:tc>
        <w:tc>
          <w:tcPr>
            <w:tcW w:type="dxa" w:w="2492"/>
          </w:tcPr>
          <w:p>
            <w:pPr>
              <w:pStyle w:val="null3"/>
            </w:pPr>
            <w:r>
              <w:rPr>
                <w:rFonts w:ascii="仿宋_GB2312" w:hAnsi="仿宋_GB2312" w:cs="仿宋_GB2312" w:eastAsia="仿宋_GB2312"/>
              </w:rPr>
              <w:t>对档案馆消防改造质量等方面有完善合理且具有可操作性的承诺及措施，方案完备、合理、切实可行的计 3-5（含）分；方案粗略、简单计 0-3（含）分。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响应实施方案说明.docx</w:t>
            </w:r>
          </w:p>
        </w:tc>
      </w:tr>
      <w:tr>
        <w:tc>
          <w:tcPr>
            <w:tcW w:type="dxa" w:w="831"/>
            <w:vMerge/>
          </w:tcPr>
          <w:p/>
        </w:tc>
        <w:tc>
          <w:tcPr>
            <w:tcW w:type="dxa" w:w="1661"/>
          </w:tcPr>
          <w:p>
            <w:pPr>
              <w:pStyle w:val="null3"/>
            </w:pPr>
            <w:r>
              <w:rPr>
                <w:rFonts w:ascii="仿宋_GB2312" w:hAnsi="仿宋_GB2312" w:cs="仿宋_GB2312" w:eastAsia="仿宋_GB2312"/>
              </w:rPr>
              <w:t>安全生产、文明施工保证体系及保障措施</w:t>
            </w:r>
          </w:p>
        </w:tc>
        <w:tc>
          <w:tcPr>
            <w:tcW w:type="dxa" w:w="2492"/>
          </w:tcPr>
          <w:p>
            <w:pPr>
              <w:pStyle w:val="null3"/>
            </w:pPr>
            <w:r>
              <w:rPr>
                <w:rFonts w:ascii="仿宋_GB2312" w:hAnsi="仿宋_GB2312" w:cs="仿宋_GB2312" w:eastAsia="仿宋_GB2312"/>
              </w:rPr>
              <w:t>作业安全生产、文明施工保障措施：确保人员、环境等安全文明措施。内容全面、安排合理明确重、可行性强的计 3-5（含）分；保障措施方案一般，措施粗略、简单计 0-3（含）分。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响应实施方案说明.docx</w:t>
            </w:r>
          </w:p>
        </w:tc>
      </w:tr>
      <w:tr>
        <w:tc>
          <w:tcPr>
            <w:tcW w:type="dxa" w:w="831"/>
            <w:vMerge/>
          </w:tcPr>
          <w:p/>
        </w:tc>
        <w:tc>
          <w:tcPr>
            <w:tcW w:type="dxa" w:w="1661"/>
          </w:tcPr>
          <w:p>
            <w:pPr>
              <w:pStyle w:val="null3"/>
            </w:pPr>
            <w:r>
              <w:rPr>
                <w:rFonts w:ascii="仿宋_GB2312" w:hAnsi="仿宋_GB2312" w:cs="仿宋_GB2312" w:eastAsia="仿宋_GB2312"/>
              </w:rPr>
              <w:t>工作计划、进度安排 、进度保障措施</w:t>
            </w:r>
          </w:p>
        </w:tc>
        <w:tc>
          <w:tcPr>
            <w:tcW w:type="dxa" w:w="2492"/>
          </w:tcPr>
          <w:p>
            <w:pPr>
              <w:pStyle w:val="null3"/>
            </w:pPr>
            <w:r>
              <w:rPr>
                <w:rFonts w:ascii="仿宋_GB2312" w:hAnsi="仿宋_GB2312" w:cs="仿宋_GB2312" w:eastAsia="仿宋_GB2312"/>
              </w:rPr>
              <w:t>工作计划目标明确，进度安排方案科学合理，进度保障措施全面且可行性高计3-5（含）分；工作计划有一定目标性，进度安排及进度保障措施明确，基本满足项目需求计0-3（含）分。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响应实施方案说明.docx</w:t>
            </w:r>
          </w:p>
        </w:tc>
      </w:tr>
      <w:tr>
        <w:tc>
          <w:tcPr>
            <w:tcW w:type="dxa" w:w="831"/>
            <w:vMerge/>
          </w:tcPr>
          <w:p/>
        </w:tc>
        <w:tc>
          <w:tcPr>
            <w:tcW w:type="dxa" w:w="1661"/>
          </w:tcPr>
          <w:p>
            <w:pPr>
              <w:pStyle w:val="null3"/>
            </w:pPr>
            <w:r>
              <w:rPr>
                <w:rFonts w:ascii="仿宋_GB2312" w:hAnsi="仿宋_GB2312" w:cs="仿宋_GB2312" w:eastAsia="仿宋_GB2312"/>
              </w:rPr>
              <w:t>主要劳动力、资源配备计划</w:t>
            </w:r>
          </w:p>
        </w:tc>
        <w:tc>
          <w:tcPr>
            <w:tcW w:type="dxa" w:w="2492"/>
          </w:tcPr>
          <w:p>
            <w:pPr>
              <w:pStyle w:val="null3"/>
            </w:pPr>
            <w:r>
              <w:rPr>
                <w:rFonts w:ascii="仿宋_GB2312" w:hAnsi="仿宋_GB2312" w:cs="仿宋_GB2312" w:eastAsia="仿宋_GB2312"/>
              </w:rPr>
              <w:t>本项目施工特点及工程进度需求，所配备的各类人员、施工材料设备、相关仪器等，根据施工要求满足程度完全满足计3-5分，基本满足计1-3分，不满足计0-1分。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响应实施方案说明.docx</w:t>
            </w:r>
          </w:p>
          <w:p>
            <w:pPr>
              <w:pStyle w:val="null3"/>
            </w:pPr>
            <w:r>
              <w:rPr>
                <w:rFonts w:ascii="仿宋_GB2312" w:hAnsi="仿宋_GB2312" w:cs="仿宋_GB2312" w:eastAsia="仿宋_GB2312"/>
              </w:rPr>
              <w:t>拟投入本项目的人员配备情况.docx</w:t>
            </w:r>
          </w:p>
          <w:p>
            <w:pPr>
              <w:pStyle w:val="null3"/>
            </w:pPr>
            <w:r>
              <w:rPr>
                <w:rFonts w:ascii="仿宋_GB2312" w:hAnsi="仿宋_GB2312" w:cs="仿宋_GB2312" w:eastAsia="仿宋_GB2312"/>
              </w:rPr>
              <w:t>拟投入本项目设备.docx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售后服务方案：供应商针对本项目的售后服务承诺、项目交付用户后出现缺陷响应时间及措施，质量保证范围。 1.售后服务方案内容架构完整、层次清晰，满足或优于服务需求，得3-5分； 2.售后服务方案内容欠缺、薄弱的得1-3（含）分； 3.售后服务方案严重欠缺、可行性差得0-1（含）分。 4.未提供售后服务方案不得分。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响应实施方案说明.docx</w:t>
            </w:r>
          </w:p>
          <w:p>
            <w:pPr>
              <w:pStyle w:val="null3"/>
            </w:pPr>
            <w:r>
              <w:rPr>
                <w:rFonts w:ascii="仿宋_GB2312" w:hAnsi="仿宋_GB2312" w:cs="仿宋_GB2312" w:eastAsia="仿宋_GB2312"/>
              </w:rPr>
              <w:t>对磋商文件及合同条款的承诺.docx</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根据供应商提供的项目部人员组成组成赋分，完全满足项目实际施工需求得3-5分，基本满足项目需求得(1-3）分，不满足项目需求得[0-1]分。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拟投入本项目的人员配备情况.docx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供应商需提供2020年10月至响应文件递交截止时间前承担的类似项目业绩，每提供 1 份得 2.5分，满分 10 分。注：业绩以合同为准，提供合同复印件或扫描件加盖公章，合同至少应包含合同签字盖章页及服务内容等关键内容，未提供或提供的业绩合同不合格的，均不得分。 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供应商类似业绩情况.docx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采用低价优先法计算，即满足磋商文件要求且最终报价最低的报价为评标基准价，其价格分为满分。其它供应商的报价得分=评标基准价/磋商报价×30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投标函.docx</w:t>
            </w:r>
          </w:p>
          <w:p>
            <w:pPr>
              <w:pStyle w:val="null3"/>
            </w:pPr>
            <w:r>
              <w:rPr>
                <w:rFonts w:ascii="仿宋_GB2312" w:hAnsi="仿宋_GB2312" w:cs="仿宋_GB2312" w:eastAsia="仿宋_GB2312"/>
              </w:rPr>
              <w:t>响应报价表.docx</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详见附件：投标函.docx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详见附件：响应实施方案说明.docx</w:t>
      </w:r>
    </w:p>
    <w:p>
      <w:pPr>
        <w:pStyle w:val="null3"/>
        <w:ind w:firstLine="960"/>
      </w:pPr>
      <w:r>
        <w:rPr>
          <w:rFonts w:ascii="仿宋_GB2312" w:hAnsi="仿宋_GB2312" w:cs="仿宋_GB2312" w:eastAsia="仿宋_GB2312"/>
        </w:rPr>
        <w:t>详见附件：拟投入本项目的人员配备情况.docx</w:t>
      </w:r>
    </w:p>
    <w:p>
      <w:pPr>
        <w:pStyle w:val="null3"/>
        <w:ind w:firstLine="960"/>
      </w:pPr>
      <w:r>
        <w:rPr>
          <w:rFonts w:ascii="仿宋_GB2312" w:hAnsi="仿宋_GB2312" w:cs="仿宋_GB2312" w:eastAsia="仿宋_GB2312"/>
        </w:rPr>
        <w:t>详见附件：拟投入本项目设备.docx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详见附件：供应商类似业绩情况.docx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详见附件：对磋商文件及合同条款的承诺.docx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