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版本号：YJZB-2025-100120251016001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传承创新示范试点中医适宜技术推广、人才理论培训基地暨双中心建设项目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YJZB-2025-1001</w:t>
      </w:r>
      <w:r>
        <w:br/>
      </w:r>
      <w:r>
        <w:br/>
      </w:r>
      <w:r>
        <w:br/>
      </w:r>
    </w:p>
    <w:p>
      <w:pPr>
        <w:pStyle w:val="null3"/>
        <w:jc w:val="center"/>
        <w:outlineLvl w:val="2"/>
      </w:pPr>
      <w:r>
        <w:rPr>
          <w:rFonts w:ascii="仿宋_GB2312" w:hAnsi="仿宋_GB2312" w:cs="仿宋_GB2312" w:eastAsia="仿宋_GB2312"/>
          <w:sz w:val="28"/>
          <w:b/>
        </w:rPr>
        <w:t>铜川市耀州区孙思邈中医院</w:t>
      </w:r>
    </w:p>
    <w:p>
      <w:pPr>
        <w:pStyle w:val="null3"/>
        <w:jc w:val="center"/>
        <w:outlineLvl w:val="2"/>
      </w:pPr>
      <w:r>
        <w:rPr>
          <w:rFonts w:ascii="仿宋_GB2312" w:hAnsi="仿宋_GB2312" w:cs="仿宋_GB2312" w:eastAsia="仿宋_GB2312"/>
          <w:sz w:val="28"/>
          <w:b/>
        </w:rPr>
        <w:t>陕西云界招标管理有限公司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陕西云界招标管理有限公司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铜川市耀州区孙思邈中医院</w:t>
      </w:r>
      <w:r>
        <w:rPr>
          <w:rFonts w:ascii="仿宋_GB2312" w:hAnsi="仿宋_GB2312" w:cs="仿宋_GB2312" w:eastAsia="仿宋_GB2312"/>
        </w:rPr>
        <w:t>委托，拟对</w:t>
      </w:r>
      <w:r>
        <w:rPr>
          <w:rFonts w:ascii="仿宋_GB2312" w:hAnsi="仿宋_GB2312" w:cs="仿宋_GB2312" w:eastAsia="仿宋_GB2312"/>
        </w:rPr>
        <w:t>传承创新示范试点中医适宜技术推广、人才理论培训基地暨双中心建设项目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YJZB-2025-1001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传承创新示范试点中医适宜技术推广、人才理论培训基地暨双中心建设项目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依托孙思邈中医院深厚的中医药文化底蕴，以“传承精华，守正创新”为宗旨，打造集文化体验、健康服务、教育普及于一体的沉浸式中医药文化体验中心。主要包含西安和铜川2个中医药文化展厅内策划文字图片的整理，文创产品的开发，展厅的落地施工，展厅数字化、信息化建设及教学设备采购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采购包1（传承创新示范试点中医适宜技术推广、人才理论培训基地暨双中心建设项目）：属于专门面向中小企业采购。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2、法定代表人身份证明/授权委托书：法定代表人参加投标的，须提供本人身份证复印件（附在法定代表人身份证明后）；法定代表人授权他人参加投标的，须提供授权委托书；</w:t>
      </w:r>
    </w:p>
    <w:p>
      <w:pPr>
        <w:pStyle w:val="null3"/>
      </w:pPr>
      <w:r>
        <w:rPr>
          <w:rFonts w:ascii="仿宋_GB2312" w:hAnsi="仿宋_GB2312" w:cs="仿宋_GB2312" w:eastAsia="仿宋_GB2312"/>
        </w:rPr>
        <w:t>3、财务状况报告：提供2024年度财务审计报告（成立时间至提交响应文件截止时间不足一年的可提供成立后任意时段的资产负债表）或其基本存款账户开户银行出具的开标前六个月内资信证明及基本存款账户的开户证明。2024年财务审计报告（需提供财务审计报告，包括资产负债表、利润表、现金流量表、财务报表附注；且须在注册会计师行业统一监管平台（http://acc.mof.gov.cn）报备并相应取得全国统一的验证码）;</w:t>
      </w:r>
    </w:p>
    <w:p>
      <w:pPr>
        <w:pStyle w:val="null3"/>
      </w:pPr>
      <w:r>
        <w:rPr>
          <w:rFonts w:ascii="仿宋_GB2312" w:hAnsi="仿宋_GB2312" w:cs="仿宋_GB2312" w:eastAsia="仿宋_GB2312"/>
        </w:rPr>
        <w:t>4、税收缴纳证明：供应商须提供投标截止时间6个月内任意1个月的缴税证明，纳税证明或完税证明上应有代收机构或税务机关的公章或业务专用章（注：依法免税或零申报的供应商应提供相关文件证明）；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缴存单据或社保机构开具的社会保险参保缴费情况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w:t>
      </w:r>
    </w:p>
    <w:p>
      <w:pPr>
        <w:pStyle w:val="null3"/>
      </w:pPr>
      <w:r>
        <w:rPr>
          <w:rFonts w:ascii="仿宋_GB2312" w:hAnsi="仿宋_GB2312" w:cs="仿宋_GB2312" w:eastAsia="仿宋_GB2312"/>
        </w:rPr>
        <w:t>7、无重大违法记录书面声明：供应商应具备良好的商业信誉，提供参加政府采购活动前3年内在经营活动中没有重大违法记录的书面声明；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8、信用信息：供应商未被“信用中国” 网站（www .creditchina.gov.cn）列入失信被执行人和重大税收违法失信主体，未被中国政府采购网（www.ccgp.gov.cn）列入政府采购严重违法失信行为记录名单；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10、资质要求：供应商须具备建筑工程施工总承包三级以上资质（含三级）或建筑装修装饰工程专业承包二级以上资质（含二级），具有有效的国家建设行政主管部门颁发的安全生产许可证；</w:t>
      </w:r>
    </w:p>
    <w:p>
      <w:pPr>
        <w:pStyle w:val="null3"/>
      </w:pPr>
      <w:r>
        <w:rPr>
          <w:rFonts w:ascii="仿宋_GB2312" w:hAnsi="仿宋_GB2312" w:cs="仿宋_GB2312" w:eastAsia="仿宋_GB2312"/>
        </w:rPr>
        <w:t>11、项目经理：拟派项目经理须具有建筑工程专业二级及以上注册建造师证书和有效的安全生产考核合格证书（B证）在本单位注册，且无在建工程（提供无在建工程承诺书）；</w:t>
      </w:r>
    </w:p>
    <w:p>
      <w:pPr>
        <w:pStyle w:val="null3"/>
      </w:pPr>
      <w:r>
        <w:rPr>
          <w:rFonts w:ascii="仿宋_GB2312" w:hAnsi="仿宋_GB2312" w:cs="仿宋_GB2312" w:eastAsia="仿宋_GB2312"/>
        </w:rPr>
        <w:t>12、本项目不接受联合体投标：提供非联合体投标声明。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铜川市耀州区孙思邈中医院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铜川市耀州区永安南路51号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陈泳伯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13509193626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陕西云界招标管理有限公司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陕西省西安市新城区陕西省西安市新城区长缨西路1号1幢32011室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029-82549320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采购包1：1,899,650.46元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号）、《国家发展和改革委员会办公厅关于招标代理服务收费有关问题的通知》（发改办价格〔2003〕857号）规定收取。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铜川市耀州区孙思邈中医院</w:t>
      </w:r>
      <w:r>
        <w:rPr>
          <w:rFonts w:ascii="仿宋_GB2312" w:hAnsi="仿宋_GB2312" w:cs="仿宋_GB2312" w:eastAsia="仿宋_GB2312"/>
        </w:rPr>
        <w:t>和</w:t>
      </w:r>
      <w:r>
        <w:rPr>
          <w:rFonts w:ascii="仿宋_GB2312" w:hAnsi="仿宋_GB2312" w:cs="仿宋_GB2312" w:eastAsia="仿宋_GB2312"/>
        </w:rPr>
        <w:t>陕西云界招标管理有限公司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铜川市耀州区孙思邈中医院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陕西云界招标管理有限公司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铜川市耀州区孙思邈中医院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陕西云界招标管理有限公司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联系人：段婧超</w:t>
      </w:r>
    </w:p>
    <w:p>
      <w:pPr>
        <w:pStyle w:val="null3"/>
      </w:pPr>
      <w:r>
        <w:rPr>
          <w:rFonts w:ascii="仿宋_GB2312" w:hAnsi="仿宋_GB2312" w:cs="仿宋_GB2312" w:eastAsia="仿宋_GB2312"/>
        </w:rPr>
        <w:t>联系电话：13772529819</w:t>
      </w:r>
    </w:p>
    <w:p>
      <w:pPr>
        <w:pStyle w:val="null3"/>
      </w:pPr>
      <w:r>
        <w:rPr>
          <w:rFonts w:ascii="仿宋_GB2312" w:hAnsi="仿宋_GB2312" w:cs="仿宋_GB2312" w:eastAsia="仿宋_GB2312"/>
        </w:rPr>
        <w:t>地址：陕西省西安市新城区长缨西路1号1幢32011室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1,899,650.46</w:t>
      </w:r>
    </w:p>
    <w:p>
      <w:pPr>
        <w:pStyle w:val="null3"/>
      </w:pPr>
      <w:r>
        <w:rPr>
          <w:rFonts w:ascii="仿宋_GB2312" w:hAnsi="仿宋_GB2312" w:cs="仿宋_GB2312" w:eastAsia="仿宋_GB2312"/>
        </w:rPr>
        <w:t>采购包最高限价（元）: 1,899,650.46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铜川市耀州区孙思邈中医院传承创新示范试点中医适宜技术推广、人才理论培训基地暨双中心建设项目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1,899,650.46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标的名称：铜川市耀州区孙思邈中医院传承创新示范试点中医适宜技术推广、人才理论培训基地暨双中心建设项目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一、本工程的施工过程和成果必须符合国家有关工程建设标准强制性条文和国家或有关部门关于工程施工方面现行的标准、规范、规程、定额、办法，以及陕西省关于工程施工方面的文件、规定。</w:t>
            </w:r>
          </w:p>
          <w:p>
            <w:pPr>
              <w:pStyle w:val="null3"/>
              <w:jc w:val="both"/>
            </w:pPr>
            <w:r>
              <w:rPr>
                <w:rFonts w:ascii="仿宋_GB2312" w:hAnsi="仿宋_GB2312" w:cs="仿宋_GB2312" w:eastAsia="仿宋_GB2312"/>
                <w:sz w:val="21"/>
              </w:rPr>
              <w:t>二、供应商在施工过程中使用或参考上述标准、规范以外的技术标准、规范时，应征得采购人的同意。</w:t>
            </w:r>
          </w:p>
          <w:p>
            <w:pPr>
              <w:pStyle w:val="null3"/>
              <w:jc w:val="both"/>
            </w:pPr>
            <w:r>
              <w:rPr>
                <w:rFonts w:ascii="仿宋_GB2312" w:hAnsi="仿宋_GB2312" w:cs="仿宋_GB2312" w:eastAsia="仿宋_GB2312"/>
                <w:sz w:val="21"/>
              </w:rPr>
              <w:t>三、在施工过程中，如果国家或有关部门颁布了新的技术标准或规范，则承包人应采用新的标准或规范进行施工。</w:t>
            </w:r>
          </w:p>
          <w:p>
            <w:pPr>
              <w:pStyle w:val="null3"/>
              <w:jc w:val="both"/>
            </w:pPr>
            <w:r>
              <w:rPr>
                <w:rFonts w:ascii="仿宋_GB2312" w:hAnsi="仿宋_GB2312" w:cs="仿宋_GB2312" w:eastAsia="仿宋_GB2312"/>
                <w:sz w:val="21"/>
              </w:rPr>
              <w:t>四、采购人提供工程的施工图纸和相关技术文件，是采购人现有的能被供应商使用的资料，采购人对供应商做出的任何推论、理解均不负责任。</w:t>
            </w:r>
          </w:p>
          <w:p>
            <w:pPr>
              <w:pStyle w:val="null3"/>
              <w:jc w:val="both"/>
            </w:pPr>
            <w:r>
              <w:rPr>
                <w:rFonts w:ascii="仿宋_GB2312" w:hAnsi="仿宋_GB2312" w:cs="仿宋_GB2312" w:eastAsia="仿宋_GB2312"/>
                <w:sz w:val="21"/>
              </w:rPr>
              <w:t>五、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jc w:val="both"/>
            </w:pPr>
            <w:r>
              <w:rPr>
                <w:rFonts w:ascii="仿宋_GB2312" w:hAnsi="仿宋_GB2312" w:cs="仿宋_GB2312" w:eastAsia="仿宋_GB2312"/>
                <w:sz w:val="21"/>
              </w:rPr>
              <w:t>六、供应商所提供的材料如需向第三方外购时，供应商应对质量负责，并提供相应的出厂和验收证明及相关技术文件。同时，还应满足本磋商文件、工程量清单、施工图纸中的相关技术要求。</w:t>
            </w:r>
          </w:p>
          <w:p>
            <w:pPr>
              <w:pStyle w:val="null3"/>
              <w:jc w:val="both"/>
            </w:pPr>
            <w:r>
              <w:rPr>
                <w:rFonts w:ascii="仿宋_GB2312" w:hAnsi="仿宋_GB2312" w:cs="仿宋_GB2312" w:eastAsia="仿宋_GB2312"/>
                <w:sz w:val="21"/>
              </w:rPr>
              <w:t>七、质量必须达到现行合格标准，符合国家、行业、地方规定以及竞争性磋商文件规定的强制性质量和安全标准要求。</w:t>
            </w:r>
          </w:p>
          <w:p>
            <w:pPr>
              <w:pStyle w:val="null3"/>
              <w:jc w:val="both"/>
            </w:pPr>
            <w:r>
              <w:rPr>
                <w:rFonts w:ascii="仿宋_GB2312" w:hAnsi="仿宋_GB2312" w:cs="仿宋_GB2312" w:eastAsia="仿宋_GB2312"/>
                <w:sz w:val="21"/>
              </w:rPr>
              <w:t>八、供应商中标后，磋商响应文件中拟派项目经理必须与施工时实际委派项目经理一致，采购人将在签署施工合同前查验项目经理相关资质、身份材料以及中标人为项目经理缴纳社保的缴费凭据。项目经理必须履职尽责，全程参与施工、例会、解决施工中的问题，严禁挂名挂证。</w:t>
            </w:r>
          </w:p>
          <w:p>
            <w:pPr>
              <w:pStyle w:val="null3"/>
              <w:jc w:val="both"/>
            </w:pPr>
            <w:r>
              <w:rPr>
                <w:rFonts w:ascii="仿宋_GB2312" w:hAnsi="仿宋_GB2312" w:cs="仿宋_GB2312" w:eastAsia="仿宋_GB2312"/>
                <w:sz w:val="21"/>
              </w:rPr>
              <w:t>九、本项目如涉及与政府部门（包含且不限于）环保、城管、地铁、规划等沟通协调或办理手续，费用及手续办理均由承包人负责，如因沟通协调及办理手续原因造成工期延误或费用增加等由承包人负责。</w:t>
            </w:r>
          </w:p>
          <w:p>
            <w:pPr>
              <w:pStyle w:val="null3"/>
              <w:jc w:val="both"/>
            </w:pPr>
            <w:r>
              <w:rPr>
                <w:rFonts w:ascii="仿宋_GB2312" w:hAnsi="仿宋_GB2312" w:cs="仿宋_GB2312" w:eastAsia="仿宋_GB2312"/>
                <w:sz w:val="21"/>
              </w:rPr>
              <w:t>十、施工过程中，供应商应制定详细可行的防污降噪处理措施，减少对周围环境的影响。</w:t>
            </w:r>
          </w:p>
          <w:p>
            <w:pPr>
              <w:pStyle w:val="null3"/>
              <w:jc w:val="both"/>
            </w:pPr>
            <w:r>
              <w:rPr>
                <w:rFonts w:ascii="仿宋_GB2312" w:hAnsi="仿宋_GB2312" w:cs="仿宋_GB2312" w:eastAsia="仿宋_GB2312"/>
                <w:sz w:val="21"/>
              </w:rPr>
              <w:t>十一、承包人不得将其承包的工程转包给他人，也不得将其承包的工程以分包的名义转包给他人。</w:t>
            </w:r>
          </w:p>
          <w:p>
            <w:pPr>
              <w:pStyle w:val="null3"/>
              <w:jc w:val="both"/>
            </w:pPr>
            <w:r>
              <w:rPr>
                <w:rFonts w:ascii="仿宋_GB2312" w:hAnsi="仿宋_GB2312" w:cs="仿宋_GB2312" w:eastAsia="仿宋_GB2312"/>
                <w:sz w:val="21"/>
              </w:rPr>
              <w:t>十二、编制依据：</w:t>
            </w:r>
            <w:r>
              <w:br/>
            </w:r>
            <w:r>
              <w:rPr>
                <w:rFonts w:ascii="仿宋_GB2312" w:hAnsi="仿宋_GB2312" w:cs="仿宋_GB2312" w:eastAsia="仿宋_GB2312"/>
                <w:sz w:val="21"/>
              </w:rPr>
              <w:t>（一）陕西省现行工程量清单编制依据</w:t>
            </w:r>
          </w:p>
          <w:p>
            <w:pPr>
              <w:pStyle w:val="null3"/>
              <w:jc w:val="both"/>
            </w:pPr>
            <w:r>
              <w:rPr>
                <w:rFonts w:ascii="仿宋_GB2312" w:hAnsi="仿宋_GB2312" w:cs="仿宋_GB2312" w:eastAsia="仿宋_GB2312"/>
                <w:sz w:val="21"/>
              </w:rPr>
              <w:t>1.《房屋建筑与装饰工程工程量计算标准》（DB 61/T 5129-2025）；</w:t>
            </w:r>
          </w:p>
          <w:p>
            <w:pPr>
              <w:pStyle w:val="null3"/>
              <w:jc w:val="both"/>
            </w:pPr>
            <w:r>
              <w:rPr>
                <w:rFonts w:ascii="仿宋_GB2312" w:hAnsi="仿宋_GB2312" w:cs="仿宋_GB2312" w:eastAsia="仿宋_GB2312"/>
                <w:sz w:val="21"/>
              </w:rPr>
              <w:t>2.《通用安装工程工程量计算标准》（DB 61/T 5130-2025）；</w:t>
            </w:r>
          </w:p>
          <w:p>
            <w:pPr>
              <w:pStyle w:val="null3"/>
              <w:jc w:val="both"/>
            </w:pPr>
            <w:r>
              <w:rPr>
                <w:rFonts w:ascii="仿宋_GB2312" w:hAnsi="仿宋_GB2312" w:cs="仿宋_GB2312" w:eastAsia="仿宋_GB2312"/>
                <w:sz w:val="21"/>
              </w:rPr>
              <w:t>3.《市政工程工程量计算标准》（DB 61/T 5128-2025）；</w:t>
            </w:r>
          </w:p>
          <w:p>
            <w:pPr>
              <w:pStyle w:val="null3"/>
              <w:jc w:val="both"/>
            </w:pPr>
            <w:r>
              <w:rPr>
                <w:rFonts w:ascii="仿宋_GB2312" w:hAnsi="仿宋_GB2312" w:cs="仿宋_GB2312" w:eastAsia="仿宋_GB2312"/>
                <w:sz w:val="21"/>
              </w:rPr>
              <w:t>4.《园林绿化工程工程量计算标准》（DB 61/T 5131-2025）。</w:t>
            </w:r>
          </w:p>
          <w:p>
            <w:pPr>
              <w:pStyle w:val="null3"/>
              <w:jc w:val="both"/>
            </w:pPr>
            <w:r>
              <w:rPr>
                <w:rFonts w:ascii="仿宋_GB2312" w:hAnsi="仿宋_GB2312" w:cs="仿宋_GB2312" w:eastAsia="仿宋_GB2312"/>
                <w:sz w:val="21"/>
              </w:rPr>
              <w:t>（二）建设主管部门颁发的计价依据</w:t>
            </w:r>
          </w:p>
          <w:p>
            <w:pPr>
              <w:pStyle w:val="null3"/>
              <w:jc w:val="both"/>
            </w:pPr>
            <w:r>
              <w:rPr>
                <w:rFonts w:ascii="仿宋_GB2312" w:hAnsi="仿宋_GB2312" w:cs="仿宋_GB2312" w:eastAsia="仿宋_GB2312"/>
                <w:sz w:val="21"/>
              </w:rPr>
              <w:t>1.《建设工程工程量清单计价标准》（GB/T 50500-2024）；</w:t>
            </w:r>
          </w:p>
          <w:p>
            <w:pPr>
              <w:pStyle w:val="null3"/>
              <w:jc w:val="both"/>
            </w:pPr>
            <w:r>
              <w:rPr>
                <w:rFonts w:ascii="仿宋_GB2312" w:hAnsi="仿宋_GB2312" w:cs="仿宋_GB2312" w:eastAsia="仿宋_GB2312"/>
                <w:sz w:val="21"/>
              </w:rPr>
              <w:t>2.《建设工程工程量清单计价标准》（DB 61/T 5126-2025）；</w:t>
            </w:r>
          </w:p>
          <w:p>
            <w:pPr>
              <w:pStyle w:val="null3"/>
              <w:jc w:val="both"/>
            </w:pPr>
            <w:r>
              <w:rPr>
                <w:rFonts w:ascii="仿宋_GB2312" w:hAnsi="仿宋_GB2312" w:cs="仿宋_GB2312" w:eastAsia="仿宋_GB2312"/>
                <w:sz w:val="21"/>
              </w:rPr>
              <w:t>3.《陕西省建设工程费用规则》（2025） 。</w:t>
            </w:r>
          </w:p>
          <w:p>
            <w:pPr>
              <w:pStyle w:val="null3"/>
              <w:jc w:val="both"/>
            </w:pPr>
            <w:r>
              <w:rPr>
                <w:rFonts w:ascii="仿宋_GB2312" w:hAnsi="仿宋_GB2312" w:cs="仿宋_GB2312" w:eastAsia="仿宋_GB2312"/>
                <w:sz w:val="21"/>
              </w:rPr>
              <w:t>（三）其他编制依据</w:t>
            </w:r>
          </w:p>
          <w:p>
            <w:pPr>
              <w:pStyle w:val="null3"/>
              <w:jc w:val="both"/>
            </w:pPr>
            <w:r>
              <w:rPr>
                <w:rFonts w:ascii="仿宋_GB2312" w:hAnsi="仿宋_GB2312" w:cs="仿宋_GB2312" w:eastAsia="仿宋_GB2312"/>
                <w:sz w:val="21"/>
              </w:rPr>
              <w:t>1.与建设工程有关的标准、规范及技术资料；</w:t>
            </w:r>
          </w:p>
          <w:p>
            <w:pPr>
              <w:pStyle w:val="null3"/>
              <w:jc w:val="both"/>
            </w:pPr>
            <w:r>
              <w:rPr>
                <w:rFonts w:ascii="仿宋_GB2312" w:hAnsi="仿宋_GB2312" w:cs="仿宋_GB2312" w:eastAsia="仿宋_GB2312"/>
                <w:sz w:val="21"/>
              </w:rPr>
              <w:t>2.施工现场情况、地勘水文资料、工程特点及施工方案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3.本工程量清单采用广联达云计价平台GCCP7.0（7.5000.23.1）编制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.税金按《陕西省建设工程费用规则（2025）》中相关规定计入； </w:t>
            </w:r>
            <w:r>
              <w:br/>
            </w:r>
            <w:r>
              <w:rPr>
                <w:rFonts w:ascii="仿宋_GB2312" w:hAnsi="仿宋_GB2312" w:cs="仿宋_GB2312" w:eastAsia="仿宋_GB2312"/>
                <w:sz w:val="21"/>
              </w:rPr>
              <w:t>5</w:t>
            </w:r>
            <w:r>
              <w:rPr>
                <w:rFonts w:ascii="仿宋_GB2312" w:hAnsi="仿宋_GB2312" w:cs="仿宋_GB2312" w:eastAsia="仿宋_GB2312"/>
                <w:sz w:val="21"/>
              </w:rPr>
              <w:t>.安全文明施工措施费按《陕西省建设工程费用规则（2025）》中相关规定计入；</w:t>
            </w:r>
            <w:r>
              <w:br/>
            </w:r>
            <w:r>
              <w:rPr>
                <w:rFonts w:ascii="仿宋_GB2312" w:hAnsi="仿宋_GB2312" w:cs="仿宋_GB2312" w:eastAsia="仿宋_GB2312"/>
                <w:sz w:val="21"/>
              </w:rPr>
              <w:t>6</w:t>
            </w:r>
            <w:r>
              <w:rPr>
                <w:rFonts w:ascii="仿宋_GB2312" w:hAnsi="仿宋_GB2312" w:cs="仿宋_GB2312" w:eastAsia="仿宋_GB2312"/>
                <w:sz w:val="21"/>
              </w:rPr>
              <w:t>.建筑施工安全生产责任保险费用执行《陕西省住房和城乡建设厅关于建筑施工安全生产责任保险费用计价的通知》（陕建发【2020】1097号）；</w:t>
            </w:r>
            <w:r>
              <w:br/>
            </w:r>
            <w:r>
              <w:rPr>
                <w:rFonts w:ascii="仿宋_GB2312" w:hAnsi="仿宋_GB2312" w:cs="仿宋_GB2312" w:eastAsia="仿宋_GB2312"/>
                <w:sz w:val="21"/>
              </w:rPr>
              <w:t>7</w:t>
            </w:r>
            <w:r>
              <w:rPr>
                <w:rFonts w:ascii="仿宋_GB2312" w:hAnsi="仿宋_GB2312" w:cs="仿宋_GB2312" w:eastAsia="仿宋_GB2312"/>
                <w:sz w:val="21"/>
              </w:rPr>
              <w:t>.关于全省统一停止收缴建筑业劳保费用的通知（陕建发【2021】1021号）；</w:t>
            </w:r>
            <w:r>
              <w:br/>
            </w:r>
            <w:r>
              <w:rPr>
                <w:rFonts w:ascii="仿宋_GB2312" w:hAnsi="仿宋_GB2312" w:cs="仿宋_GB2312" w:eastAsia="仿宋_GB2312"/>
                <w:sz w:val="21"/>
              </w:rPr>
              <w:t>8</w:t>
            </w:r>
            <w:r>
              <w:rPr>
                <w:rFonts w:ascii="仿宋_GB2312" w:hAnsi="仿宋_GB2312" w:cs="仿宋_GB2312" w:eastAsia="仿宋_GB2312"/>
                <w:sz w:val="21"/>
              </w:rPr>
              <w:t>.其他未尽事宜详见工程量清单。</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1.施工工期： 90日历天 2.合同支付约定：（1）付款条件说明:合同签订后，达到付款条件起10日内，支付合同总金额的60.00%。（2）付款条件说明:基础装修工程完工后，达到付款条件起10日内，支付合同总金额的30.00%。（3）付款条件说明:项目竣工验收合格，达到付款条件起10日内，支付合同总金额的 10.00%。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法定代表人身份证明/授权委托书</w:t>
            </w:r>
          </w:p>
        </w:tc>
        <w:tc>
          <w:tcPr>
            <w:tcW w:type="dxa" w:w="3322"/>
          </w:tcPr>
          <w:p>
            <w:pPr>
              <w:pStyle w:val="null3"/>
            </w:pPr>
            <w:r>
              <w:rPr>
                <w:rFonts w:ascii="仿宋_GB2312" w:hAnsi="仿宋_GB2312" w:cs="仿宋_GB2312" w:eastAsia="仿宋_GB2312"/>
              </w:rPr>
              <w:t>法定代表人参加投标的，须提供本人身份证复印件（附在法定代表人身份证明后）；法定代表人授权他人参加投标的，须提供授权委托书；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成立时间至提交响应文件截止时间不足一年的可提供成立后任意时段的资产负债表）或其基本存款账户开户银行出具的开标前六个月内资信证明及基本存款账户的开户证明。2024年财务审计报告（需提供财务审计报告，包括资产负债表、利润表、现金流量表、财务报表附注；且须在注册会计师行业统一监管平台（http://acc.mof.gov.cn）报备并相应取得全国统一的验证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供应商须提供投标截止时间6个月内任意1个月的缴税证明，纳税证明或完税证明上应有代收机构或税务机关的公章或业务专用章（注：依法免税或零申报的供应商应提供相关文件证明）；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供应商须提供投标截止时间6个月内任意1个月的社会保险缴纳证明缴存单据或社保机构开具的社会保险参保缴费情况证明（注：依法不需要缴纳社会保障资金的供应商应提供相关文件证明）；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 网站（www .creditchina.gov.cn）列入失信被执行人和重大税收违法失信主体，未被中国政府采购网（www.ccgp.gov.cn）列入政府采购严重违法失信行为记录名单；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供应商须具备建筑工程施工总承包三级以上资质（含三级）或建筑装修装饰工程专业承包二级以上资质（含二级），具有有效的国家建设行政主管部门颁发的安全生产许可证；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拟派项目经理须具有建筑工程专业二级及以上注册建造师证书和有效的安全生产考核合格证书（B证）在本单位注册，且无在建工程（提供无在建工程承诺书）；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项目管理机构组成表 报价函 技术服务合同条款及其他商务要求应答表 标的清单 实施方案.docx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依据采购文件规定，从响应文件的有效性、完整性和响应程度进行审查。出现下列情况之一 （但不限于）不得进入评审环节：（1）响应文件未按照竞采购文件的要求编写；（2）响应文件未按采购文件要求签字、盖章；（3）供应商的投标报价超过采购预算或最高限价的； （4）无投标有效期或有效期达不到采购文件要求的；（5）响应文件未实质性响应采购文件要 求的；（6）响应文件附加了采购人难以接受的条件或条款的； （7）不符合法律、法规和采购 文件中规定的其他实质性要求的。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供应商应提交的相关资格证明材料.docx 项目管理机构组成表 主要人员简历表.docx 残疾人福利性单位声明函 报价函 标的清单 供应商类似项目业绩一览表 实施方案.docx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二、评审标准1、完整性：方案必须全面，对评审内容中的各项要求有详细描述；2、可实施性：切合本项目实际情况，提出步骤清晰、合理的方案；3、针对性：方案能够紧扣项目实际情况，内容科学合理。三、赋分标准（满分4.5分）①施工进度计划横道图：每完全满足一个评审标准得0.5分，满分1.5分；②进度计划保证措施：每完全满足一个评审标准得0.5分，满分1.5分；③工期保证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三、赋分标准（满分7.5分） ①施工质量检验制度：每完全满足一个评审标准得0.5分，满分1.5分； ②确保质量的技术组织措施：每完全满足一个评审标准得1分，满分3分； ③施工质量控制措施：每完全满足一个评审标准得1分，满分3分。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供应商针对本项目编制完善的资源配置计划，内容包含：①劳动力资源配置计划 ②施工机械设备投入计划 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三、赋分标准（满分7.5分） ①劳动力资源配置计划：每完全满足一个评审标准得1分，满分3分； ②施工机械设备投入计划：每完全满足一个评审标准得1分，满分3分； ③主要施工材料供应计划：每完全满足一个评审标准得0.5分，满分1.5分。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1、完整性：方案必须全面，对评审内容中的各项要求有详细描述；2、可实施性：切合本项目实际情况，提出步骤清晰、合理的方案；3、针对性：方案能够紧扣项目实际情况，内容科学合理。 三、赋分标准（满分7.5分） ①安全生产管理制度：每完全满足一个评审标准得0.5分，满分1.5分； ②安全施工措施：每完全满足一个评审标准得1分，满分3分；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 ②文明施工现场管理：材料管理、扰民措施。 二、评审标准 1、完整性：方案必须全面，对评审内容中的各项要求有详细描述；2、可实施性：切合本项目实际情况，提出步骤清晰、合理的方案；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二、赋分标准（满分6分）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 ②施工准备：技术准备、材料准备、机械设备、机具准备 ③施工平面布置与安排。 二、评审标准 1、完整性：方案必须全面，对评审内容中的各项要求有详细描述； 2、可实施性：切合本项目实际情况，提出步骤清晰、合理的方案； 3、针对性：方案能够紧扣项目实际情况，内容科学合理。 三、赋分标准（满分6分） ①施工目标：每完全满足一个评审标准得0.5分，满分1.5分； ②施工准备：每完全满足一个评审标准得0.5分，满分1.5分；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 ②分部分项工程施工方法 ③施工质量通病防治措施。 二、评审标准 1、完整性：方案必须全面，对评审内容中的各项要求有详细描述；2、可实施性：切合本项目实际情况，提出步骤清晰、合理的方案； 3、针对性：方案能够紧扣项目实际情况，内容科学合理。 三、赋分标准（满分6分） ①工程重难点及解决措施：每完全满足一个评审标准得1分，满分3分； ②分部分项工程施工方法：每完全满足一个评审标准得0.5分，满分1.5分； ③施工质量通病防治措施：每完全满足一个评审标准得0.5分，满分1.5分。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拟派项目经理2022年10月1日以来承建过的医药类相关展览展示装饰装修工程，每承建一个得2.5分，最高得5分；须提供项目的中标通知书或合同协议书。 注：以合同协议书或中标通知书中约定的项目经理姓名为准。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技术负责人，安全员、施工员（需持有对应岗位的有效证书），各岗1分，满分3分。 注：以上人员均需提供身份证、毕业证、岗位证书、2025年任意连续三个月社保（至少含养老保险）缴费证明.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2022年10月1日以来承建的医药类相关展览展示装饰装修工程，每承建一个得2分，最高得8分。 注：须提供项目的中标通知书或合同（合同包含首页、标的金额所在页、合同签字盖章页。若中标通知书和合同时间不一致的，以合同签订时间为准）、结算发票。</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客户满意度评价</w:t>
            </w:r>
          </w:p>
        </w:tc>
        <w:tc>
          <w:tcPr>
            <w:tcW w:type="dxa" w:w="2492"/>
          </w:tcPr>
          <w:p>
            <w:pPr>
              <w:pStyle w:val="null3"/>
            </w:pPr>
            <w:r>
              <w:rPr>
                <w:rFonts w:ascii="仿宋_GB2312" w:hAnsi="仿宋_GB2312" w:cs="仿宋_GB2312" w:eastAsia="仿宋_GB2312"/>
              </w:rPr>
              <w:t>响应文件相对应业绩合同或协议所对应用户单位对供应商工程质量、态度、服务等方面给予的符合要求的考核评价（须有相应单位的盖章，并提供相应单位联系人员电话和姓名），评价内容需体现“服务质量好、配合积极、服务及时、满意、优良”等正面评价，每个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统一按照下列公式计算：磋商报价得分=（磋商基准价/最终磋商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