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版本号：NBC-2025-ZFCS-F-13020251009001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铜川市耀州区农村土地承包经营权确权登记颁证技术服务项目（部分）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NBC-2025-ZFCS-F-130</w:t>
      </w:r>
      <w:r>
        <w:br/>
      </w:r>
      <w:r>
        <w:br/>
      </w:r>
      <w:r>
        <w:br/>
      </w:r>
    </w:p>
    <w:p>
      <w:pPr>
        <w:pStyle w:val="null3"/>
        <w:jc w:val="center"/>
        <w:outlineLvl w:val="2"/>
      </w:pPr>
      <w:r>
        <w:rPr>
          <w:rFonts w:ascii="仿宋_GB2312" w:hAnsi="仿宋_GB2312" w:cs="仿宋_GB2312" w:eastAsia="仿宋_GB2312"/>
          <w:sz w:val="28"/>
          <w:b/>
        </w:rPr>
        <w:t>铜川市耀州区农业农村局</w:t>
      </w:r>
    </w:p>
    <w:p>
      <w:pPr>
        <w:pStyle w:val="null3"/>
        <w:jc w:val="center"/>
        <w:outlineLvl w:val="2"/>
      </w:pPr>
      <w:r>
        <w:rPr>
          <w:rFonts w:ascii="仿宋_GB2312" w:hAnsi="仿宋_GB2312" w:cs="仿宋_GB2312" w:eastAsia="仿宋_GB2312"/>
          <w:sz w:val="28"/>
          <w:b/>
        </w:rPr>
        <w:t>纳百川项目管理咨询有限公司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纳百川项目管理咨询有限公司</w:t>
      </w:r>
      <w:r>
        <w:rPr>
          <w:rFonts w:ascii="仿宋_GB2312" w:hAnsi="仿宋_GB2312" w:cs="仿宋_GB2312" w:eastAsia="仿宋_GB2312"/>
        </w:rPr>
        <w:t>（以下简称“代理机构”）受</w:t>
      </w:r>
      <w:r>
        <w:rPr>
          <w:rFonts w:ascii="仿宋_GB2312" w:hAnsi="仿宋_GB2312" w:cs="仿宋_GB2312" w:eastAsia="仿宋_GB2312"/>
        </w:rPr>
        <w:t>铜川市耀州区农业农村局</w:t>
      </w:r>
      <w:r>
        <w:rPr>
          <w:rFonts w:ascii="仿宋_GB2312" w:hAnsi="仿宋_GB2312" w:cs="仿宋_GB2312" w:eastAsia="仿宋_GB2312"/>
        </w:rPr>
        <w:t>委托，拟对</w:t>
      </w:r>
      <w:r>
        <w:rPr>
          <w:rFonts w:ascii="仿宋_GB2312" w:hAnsi="仿宋_GB2312" w:cs="仿宋_GB2312" w:eastAsia="仿宋_GB2312"/>
        </w:rPr>
        <w:t>铜川市耀州区农村土地承包经营权确权登记颁证技术服务项目（部分）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NBC-2025-ZFCS-F-130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铜川市耀州区农村土地承包经营权确权登记颁证技术服务项目（部分）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根据陕西省农业农村厅《关于加快整改农村土地承包经营权“应确未确”遗留问题的通知》（陕农函〔2025〕466号）和《关于分类做好农村承包地应确权未确权问题整改工作的通知》（陕农函〔2025〕606号）要求，现需要对我区11个镇办，5万余亩“应确未确”农村承包土地进行经营权确权登记颁证工作，在2025年底前，基本完成“应确未确”承包地确权工作，切实为第二轮土地承包到期后再延长30年试点工作奠定基础。</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采购包1（铜川市耀州区农村土地承包经营权确权登记颁证技术服务项目(部分)）：属于专门面向中小企业采购。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的相关证明：供应商为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2、授权合法的人参加采购：法定代表人直接参加磋商的，须出具法人身份证明；法定代表人授权代表参加磋商的，须出具法定代表人授权书；</w:t>
      </w:r>
    </w:p>
    <w:p>
      <w:pPr>
        <w:pStyle w:val="null3"/>
      </w:pPr>
      <w:r>
        <w:rPr>
          <w:rFonts w:ascii="仿宋_GB2312" w:hAnsi="仿宋_GB2312" w:cs="仿宋_GB2312" w:eastAsia="仿宋_GB2312"/>
        </w:rPr>
        <w:t>3、企业资质：投标人须具备国家主管部门颁发的测绘乙级（含乙级）及以上资质；</w:t>
      </w:r>
    </w:p>
    <w:p>
      <w:pPr>
        <w:pStyle w:val="null3"/>
      </w:pPr>
      <w:r>
        <w:rPr>
          <w:rFonts w:ascii="仿宋_GB2312" w:hAnsi="仿宋_GB2312" w:cs="仿宋_GB2312" w:eastAsia="仿宋_GB2312"/>
        </w:rPr>
        <w:t>4、拟派项目负责人资质和专业要求：拟派项目负责人须具备有测绘专业资质及中级以上职称；</w:t>
      </w:r>
    </w:p>
    <w:p>
      <w:pPr>
        <w:pStyle w:val="null3"/>
      </w:pPr>
      <w:r>
        <w:rPr>
          <w:rFonts w:ascii="仿宋_GB2312" w:hAnsi="仿宋_GB2312" w:cs="仿宋_GB2312" w:eastAsia="仿宋_GB2312"/>
        </w:rPr>
        <w:t>5、财务状况：提供 2022年至 2024 年任一年财务审计报告（公司成立不足一年的需提供银行出具的资信证明）；</w:t>
      </w:r>
    </w:p>
    <w:p>
      <w:pPr>
        <w:pStyle w:val="null3"/>
      </w:pPr>
      <w:r>
        <w:rPr>
          <w:rFonts w:ascii="仿宋_GB2312" w:hAnsi="仿宋_GB2312" w:cs="仿宋_GB2312" w:eastAsia="仿宋_GB2312"/>
        </w:rPr>
        <w:t>6、税收缴纳证明：提供 2025年 1 月 1 日至投标截止时间已缴纳的至少一个月的纳税证明或完税证明，依法免税的单位应提供相关证明材料；</w:t>
      </w:r>
    </w:p>
    <w:p>
      <w:pPr>
        <w:pStyle w:val="null3"/>
      </w:pPr>
      <w:r>
        <w:rPr>
          <w:rFonts w:ascii="仿宋_GB2312" w:hAnsi="仿宋_GB2312" w:cs="仿宋_GB2312" w:eastAsia="仿宋_GB2312"/>
        </w:rPr>
        <w:t>7、社会保障资金缴纳证明：提供 2025 年 1 月 1 日至投标截止时间已缴存的至少一个月的社会保障资金缴存单据或社保机构开具的社会保险参保缴费情况证明，依法不需要敏纳社会保资金的单位应提供相关证明材料；</w:t>
      </w:r>
    </w:p>
    <w:p>
      <w:pPr>
        <w:pStyle w:val="null3"/>
      </w:pPr>
      <w:r>
        <w:rPr>
          <w:rFonts w:ascii="仿宋_GB2312" w:hAnsi="仿宋_GB2312" w:cs="仿宋_GB2312" w:eastAsia="仿宋_GB2312"/>
        </w:rPr>
        <w:t>8、信用查询：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9、参加政府采购活动前3年内，在经营活动中没有重大违法记录承诺函：参加政府采购活动前3年内，在经营活动中没有重大违法记录；（提供书面承诺函，格式自拟加盖投标人公章）；</w:t>
      </w:r>
    </w:p>
    <w:p>
      <w:pPr>
        <w:pStyle w:val="null3"/>
      </w:pPr>
      <w:r>
        <w:rPr>
          <w:rFonts w:ascii="仿宋_GB2312" w:hAnsi="仿宋_GB2312" w:cs="仿宋_GB2312" w:eastAsia="仿宋_GB2312"/>
        </w:rPr>
        <w:t>10、供应商具备履行合同所必需的设备和专业技术能力承诺函：供应商具备履行合同所必需的设备和专业技术能力；（提供书面承诺函，格式自拟加盖投标人公章）；</w:t>
      </w:r>
    </w:p>
    <w:p>
      <w:pPr>
        <w:pStyle w:val="null3"/>
      </w:pPr>
      <w:r>
        <w:rPr>
          <w:rFonts w:ascii="仿宋_GB2312" w:hAnsi="仿宋_GB2312" w:cs="仿宋_GB2312" w:eastAsia="仿宋_GB2312"/>
        </w:rPr>
        <w:t>11、供应商企业关系关联承诺书：单位负责人为同一人或者存在直接控股、管理关系的不同投标人，不得参加同一合同项下的政府采购活动；（提供书面承诺函，格式自拟加盖投标人公章）。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铜川市耀州区农业农村局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崔连超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13509194266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纳百川项目管理咨询有限公司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曹雪阳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15667061553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代理服务费收费标准：代理服务费参照《国家计委关于印发&lt;招标代理服务收费管理暂行办法&gt;的通知》(计价格[2002]1980号)规定的标准，以中标金额为基数按差额定率累进法计算收取。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铜川市耀州区农业农村局</w:t>
      </w:r>
      <w:r>
        <w:rPr>
          <w:rFonts w:ascii="仿宋_GB2312" w:hAnsi="仿宋_GB2312" w:cs="仿宋_GB2312" w:eastAsia="仿宋_GB2312"/>
        </w:rPr>
        <w:t>和</w:t>
      </w:r>
      <w:r>
        <w:rPr>
          <w:rFonts w:ascii="仿宋_GB2312" w:hAnsi="仿宋_GB2312" w:cs="仿宋_GB2312" w:eastAsia="仿宋_GB2312"/>
        </w:rPr>
        <w:t>纳百川项目管理咨询有限公司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铜川市耀州区农业农村局</w:t>
      </w:r>
      <w:r>
        <w:rPr>
          <w:rFonts w:ascii="仿宋_GB2312" w:hAnsi="仿宋_GB2312" w:cs="仿宋_GB2312" w:eastAsia="仿宋_GB2312"/>
        </w:rPr>
        <w:t>负责解释。除上述磋商文件内容，其他内容由</w:t>
      </w:r>
      <w:r>
        <w:rPr>
          <w:rFonts w:ascii="仿宋_GB2312" w:hAnsi="仿宋_GB2312" w:cs="仿宋_GB2312" w:eastAsia="仿宋_GB2312"/>
        </w:rPr>
        <w:t>纳百川项目管理咨询有限公司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铜川市耀州区农业农村局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纳百川项目管理咨询有限公司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纳百川项目管理咨询有限公司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联系人：曹雪阳</w:t>
      </w:r>
    </w:p>
    <w:p>
      <w:pPr>
        <w:pStyle w:val="null3"/>
      </w:pPr>
      <w:r>
        <w:rPr>
          <w:rFonts w:ascii="仿宋_GB2312" w:hAnsi="仿宋_GB2312" w:cs="仿宋_GB2312" w:eastAsia="仿宋_GB2312"/>
        </w:rPr>
        <w:t>联系电话：15667061553</w:t>
      </w:r>
    </w:p>
    <w:p>
      <w:pPr>
        <w:pStyle w:val="null3"/>
      </w:pPr>
      <w:r>
        <w:rPr>
          <w:rFonts w:ascii="仿宋_GB2312" w:hAnsi="仿宋_GB2312" w:cs="仿宋_GB2312" w:eastAsia="仿宋_GB2312"/>
        </w:rPr>
        <w:t>地址：陕西省西安市曲江新区南三环辅路以南曲江文创中心7幢1单元1701号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根据陕西省农业农村厅《关于加快整改农村土地承包经营权“应确未确”遗留问题的通知》（陕农函〔2025〕466号）和《关于分类做好农村承包地应确权未确权问题整改工作的通知》（陕农函〔2025〕606号）要求，现需要对我区11个镇办，5万余亩“应确未确”农村承包土地进行经营权确权登记颁证工作，在2025年底前，基本完成“应确未确”承包地确权工作，切实为第二轮土地承包到期后再延长30年试点工作奠定基础。</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1,550,000.00</w:t>
      </w:r>
    </w:p>
    <w:p>
      <w:pPr>
        <w:pStyle w:val="null3"/>
      </w:pPr>
      <w:r>
        <w:rPr>
          <w:rFonts w:ascii="仿宋_GB2312" w:hAnsi="仿宋_GB2312" w:cs="仿宋_GB2312" w:eastAsia="仿宋_GB2312"/>
        </w:rPr>
        <w:t>采购包最高限价（元）: 1,550,000.00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铜川市耀州区农村土地承包经营权确权登记颁证技术服务项目（部分）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标的名称：铜川市耀州区农村土地承包经营权确权登记颁证技术服务项目（部分）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详见采购清单。</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本项目服务人员须具有测绘类专业证书。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提供能满足本项目采购清单的设备。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2025年12月31日前</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符合国家土地承包经营权确权登记颁证相关技术规范。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一轮公示完成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二轮公示完成</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承包合同签订完成后</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17.00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项目通过验收后</w:t>
      </w:r>
      <w:r>
        <w:rPr>
          <w:rFonts w:ascii="仿宋_GB2312" w:hAnsi="仿宋_GB2312" w:cs="仿宋_GB2312" w:eastAsia="仿宋_GB2312"/>
        </w:rPr>
        <w:t xml:space="preserve"> ，达到付款条件起 </w:t>
      </w:r>
      <w:r>
        <w:rPr>
          <w:rFonts w:ascii="仿宋_GB2312" w:hAnsi="仿宋_GB2312" w:cs="仿宋_GB2312" w:eastAsia="仿宋_GB2312"/>
        </w:rPr>
        <w:t>1</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本项目无此项要求。</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特殊资格要求.docx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特殊资格要求.docx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特殊资格要求.docx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具有独立承担民事责任的能力的相关证明</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授权合法的人参加采购</w:t>
            </w:r>
          </w:p>
        </w:tc>
        <w:tc>
          <w:tcPr>
            <w:tcW w:type="dxa" w:w="3322"/>
          </w:tcPr>
          <w:p>
            <w:pPr>
              <w:pStyle w:val="null3"/>
            </w:pPr>
            <w:r>
              <w:rPr>
                <w:rFonts w:ascii="仿宋_GB2312" w:hAnsi="仿宋_GB2312" w:cs="仿宋_GB2312" w:eastAsia="仿宋_GB2312"/>
              </w:rPr>
              <w:t>法定代表人直接参加磋商的，须出具法人身份证明；法定代表人授权代表参加磋商的，须出具法定代表人授权书；</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投标人须具备国家主管部门颁发的测绘乙级（含乙级）及以上资质；</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拟派项目负责人须具备有测绘专业资质及中级以上职称；</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 2022年至 2024 年任一年财务审计报告（公司成立不足一年的需提供银行出具的资信证明）；</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 2025年 1 月 1 日至投标截止时间已缴纳的至少一个月的纳税证明或完税证明，依法免税的单位应提供相关证明材料；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 2025 年 1 月 1 日至投标截止时间已缴存的至少一个月的社会保障资金缴存单据或社保机构开具的社会保险参保缴费情况证明，依法不需要敏纳社会保资金的单位应提供相关证明材料；</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参加政府采购活动前3年内，在经营活动中没有重大违法记录承诺函</w:t>
            </w:r>
          </w:p>
        </w:tc>
        <w:tc>
          <w:tcPr>
            <w:tcW w:type="dxa" w:w="3322"/>
          </w:tcPr>
          <w:p>
            <w:pPr>
              <w:pStyle w:val="null3"/>
            </w:pPr>
            <w:r>
              <w:rPr>
                <w:rFonts w:ascii="仿宋_GB2312" w:hAnsi="仿宋_GB2312" w:cs="仿宋_GB2312" w:eastAsia="仿宋_GB2312"/>
              </w:rPr>
              <w:t>参加政府采购活动前3年内，在经营活动中没有重大违法记录；（提供书面承诺函，格式自拟加盖投标人公章）；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供应商具备履行合同所必需的设备和专业技术能力承诺函</w:t>
            </w:r>
          </w:p>
        </w:tc>
        <w:tc>
          <w:tcPr>
            <w:tcW w:type="dxa" w:w="3322"/>
          </w:tcPr>
          <w:p>
            <w:pPr>
              <w:pStyle w:val="null3"/>
            </w:pPr>
            <w:r>
              <w:rPr>
                <w:rFonts w:ascii="仿宋_GB2312" w:hAnsi="仿宋_GB2312" w:cs="仿宋_GB2312" w:eastAsia="仿宋_GB2312"/>
              </w:rPr>
              <w:t>供应商具备履行合同所必需的设备和专业技术能力；（提供书面承诺函，格式自拟加盖投标人公章）；</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供应商企业关系关联承诺书</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单位负责人为同一人或者存在直接控股、管理关系的不同投标人，不得参加同一合同项下的政府采购活动；（提供书面承诺函，格式自拟加盖投标人公章）。</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 项目负责人具有测绘类高级及以上职称得 4 分，中级职称得 2 分，本项最高 4 分； 2. 拟为本项目配备的其他人员中（除项目负责人）每增加一名测绘及相关专业中级职称得3 分，本项最高 6 分； 3. 拟为本项目配备的其他人员中（除项目负责人）具有测绘地理信息涉密人员资格证书、涉密测绘成果或地理信息安全保密岗位培训证书，每提供一个上述证书得 2 分，本项满分 4 分。同一人同时具有多个上述证书仅计分一次，多人具有上述同一证书可重复计分。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评标委员会根据供应商提供的： ① 技术路线； ② 标准与规范执行； ③ 组织架构； ④ 服务体系建设等内容进行综合评审：每符合一项得 4 分，部分符合得 2 分，不符合或未提供不得分，共 16 分。</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评标委员会根据供应商提供的： ① 项目现状分析； ② 重点、难点阐述； ③ 解决方案； ④ 技术实力保障等内容进行综合评审：每符合一项得 3 分，部分符合得 1 分，不符合或未提供不得分，共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质量保障方案</w:t>
            </w:r>
          </w:p>
        </w:tc>
        <w:tc>
          <w:tcPr>
            <w:tcW w:type="dxa" w:w="2492"/>
          </w:tcPr>
          <w:p>
            <w:pPr>
              <w:pStyle w:val="null3"/>
            </w:pPr>
            <w:r>
              <w:rPr>
                <w:rFonts w:ascii="仿宋_GB2312" w:hAnsi="仿宋_GB2312" w:cs="仿宋_GB2312" w:eastAsia="仿宋_GB2312"/>
              </w:rPr>
              <w:t>评标委员会根据供应商提供的： ① 质量保障目标； ② 主要的质量控制点； ③ 质量保障体系及措施； ④ 通过市、省级核查的保障等内容进行综合评审：每符合一项得 3 分，部分符合得 1.5 分，不符合或未提供不得分，共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评标委员会根据供应商提供的： ① 进度目标； ② 设备保障能力； ③ 人员保障计划； ④ 应急处理预案等内容进行综合评审：每符合一项得 3 分，部分符合得 1.5 分，不符合或未提供不得分，共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售后服务承诺及能力</w:t>
            </w:r>
          </w:p>
        </w:tc>
        <w:tc>
          <w:tcPr>
            <w:tcW w:type="dxa" w:w="2492"/>
          </w:tcPr>
          <w:p>
            <w:pPr>
              <w:pStyle w:val="null3"/>
            </w:pPr>
            <w:r>
              <w:rPr>
                <w:rFonts w:ascii="仿宋_GB2312" w:hAnsi="仿宋_GB2312" w:cs="仿宋_GB2312" w:eastAsia="仿宋_GB2312"/>
              </w:rPr>
              <w:t>评标委员会根据供应商提供的： ① 售后技术服务方案； ② 售后服务承诺； ③ 供应商承诺的响应时间； ④ 实际措施等内容进行综合评审：每符合一项得 3 分，部分符合得 1 分，不符合或未提供不得分，共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供应商承担过土地确权调查或测绘类及其相关业绩，每提供一项业绩得 6 分，最高得 12 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报价得分 =(评标基准价 / 响应报价)×10%×100，采用低价优先法计算，即满足采购文件要求且响应价格最低的报价为评审基准价，其价格分为满分。其他供应商的价格分按公式计算（小数点保留两位）。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详见附件：服务合同-铜川市耀州区农村土地承包经营权确权登记颁证技术服务项目（部分）..docx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