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6039C7">
      <w:pPr>
        <w:wordWrap w:val="0"/>
        <w:spacing w:after="156" w:afterLines="50"/>
        <w:jc w:val="right"/>
        <w:rPr>
          <w:rFonts w:hint="default" w:ascii="黑体" w:hAnsi="黑体" w:eastAsia="黑体"/>
          <w:sz w:val="28"/>
          <w:szCs w:val="28"/>
          <w:lang w:val="en-US" w:eastAsia="zh-CN"/>
        </w:rPr>
      </w:pPr>
      <w:r>
        <w:rPr>
          <w:rFonts w:hint="eastAsia" w:ascii="黑体" w:hAnsi="黑体" w:eastAsia="黑体"/>
          <w:sz w:val="28"/>
          <w:szCs w:val="28"/>
        </w:rPr>
        <w:t>合同编号：</w:t>
      </w:r>
      <w:r>
        <w:rPr>
          <w:rFonts w:hint="eastAsia" w:ascii="黑体" w:hAnsi="黑体" w:eastAsia="黑体"/>
          <w:sz w:val="28"/>
          <w:szCs w:val="28"/>
          <w:u w:val="single"/>
          <w:lang w:val="en-US" w:eastAsia="zh-CN"/>
        </w:rPr>
        <w:t xml:space="preserve">         </w:t>
      </w:r>
    </w:p>
    <w:p w14:paraId="4CF1B95B">
      <w:pPr>
        <w:spacing w:after="156" w:afterLines="50"/>
        <w:jc w:val="center"/>
        <w:rPr>
          <w:rFonts w:hint="eastAsia" w:ascii="黑体" w:hAnsi="黑体" w:eastAsia="黑体"/>
          <w:sz w:val="24"/>
        </w:rPr>
      </w:pPr>
    </w:p>
    <w:p w14:paraId="5F9D6994">
      <w:pPr>
        <w:spacing w:after="156" w:afterLines="50"/>
        <w:jc w:val="center"/>
        <w:rPr>
          <w:rFonts w:hint="eastAsia" w:ascii="黑体" w:hAnsi="黑体" w:eastAsia="黑体"/>
          <w:sz w:val="24"/>
        </w:rPr>
      </w:pPr>
    </w:p>
    <w:p w14:paraId="36ABC316">
      <w:pPr>
        <w:spacing w:after="156" w:afterLines="50"/>
        <w:jc w:val="center"/>
        <w:rPr>
          <w:rFonts w:hint="eastAsia" w:ascii="黑体" w:hAnsi="黑体" w:eastAsia="黑体"/>
          <w:sz w:val="24"/>
        </w:rPr>
      </w:pPr>
    </w:p>
    <w:p w14:paraId="66493ECC">
      <w:pPr>
        <w:spacing w:after="156" w:afterLines="50"/>
        <w:jc w:val="center"/>
        <w:rPr>
          <w:rFonts w:hint="eastAsia" w:ascii="黑体" w:hAnsi="黑体" w:eastAsia="黑体"/>
          <w:sz w:val="24"/>
        </w:rPr>
      </w:pPr>
    </w:p>
    <w:p w14:paraId="72451C3A">
      <w:pPr>
        <w:spacing w:line="700" w:lineRule="exact"/>
        <w:jc w:val="center"/>
        <w:rPr>
          <w:rFonts w:hint="eastAsia" w:ascii="黑体" w:hAnsi="黑体" w:eastAsia="黑体"/>
          <w:spacing w:val="60"/>
          <w:sz w:val="44"/>
          <w:szCs w:val="44"/>
        </w:rPr>
      </w:pPr>
      <w:r>
        <w:rPr>
          <w:rFonts w:hint="eastAsia" w:ascii="黑体" w:hAnsi="黑体" w:eastAsia="黑体"/>
          <w:sz w:val="44"/>
          <w:szCs w:val="44"/>
          <w:lang w:eastAsia="zh-CN"/>
        </w:rPr>
        <w:t>铜川市耀州区农村土地承包经营权确权登记颁证技术服务项目（部分）</w:t>
      </w:r>
      <w:r>
        <w:rPr>
          <w:rFonts w:hint="eastAsia" w:ascii="黑体" w:hAnsi="黑体" w:eastAsia="黑体"/>
          <w:sz w:val="44"/>
          <w:szCs w:val="44"/>
        </w:rPr>
        <w:t>合同书</w:t>
      </w:r>
    </w:p>
    <w:p w14:paraId="2F11F845">
      <w:pPr>
        <w:spacing w:after="156" w:afterLines="50"/>
        <w:jc w:val="center"/>
        <w:rPr>
          <w:rFonts w:hint="eastAsia" w:ascii="黑体" w:hAnsi="黑体" w:eastAsia="黑体"/>
          <w:sz w:val="36"/>
          <w:szCs w:val="36"/>
        </w:rPr>
      </w:pPr>
    </w:p>
    <w:p w14:paraId="62B6673A">
      <w:pPr>
        <w:spacing w:after="156" w:afterLines="50"/>
        <w:jc w:val="center"/>
        <w:rPr>
          <w:rFonts w:hint="eastAsia" w:ascii="黑体" w:hAnsi="黑体" w:eastAsia="黑体"/>
          <w:sz w:val="36"/>
          <w:szCs w:val="36"/>
        </w:rPr>
      </w:pPr>
    </w:p>
    <w:p w14:paraId="265E03BC">
      <w:pPr>
        <w:spacing w:after="156" w:afterLines="50"/>
        <w:jc w:val="center"/>
        <w:rPr>
          <w:rFonts w:hint="eastAsia" w:ascii="黑体" w:hAnsi="黑体" w:eastAsia="黑体"/>
          <w:sz w:val="36"/>
          <w:szCs w:val="36"/>
        </w:rPr>
      </w:pPr>
    </w:p>
    <w:p w14:paraId="400D9AFB">
      <w:pPr>
        <w:spacing w:after="156" w:afterLines="50"/>
        <w:jc w:val="center"/>
        <w:rPr>
          <w:rFonts w:hint="eastAsia" w:ascii="黑体" w:hAnsi="黑体" w:eastAsia="黑体"/>
          <w:sz w:val="36"/>
          <w:szCs w:val="36"/>
        </w:rPr>
      </w:pPr>
    </w:p>
    <w:p w14:paraId="6F0B3EDE">
      <w:pPr>
        <w:spacing w:after="156" w:afterLines="50"/>
        <w:jc w:val="center"/>
        <w:rPr>
          <w:rFonts w:hint="eastAsia" w:ascii="黑体" w:hAnsi="黑体" w:eastAsia="黑体"/>
          <w:sz w:val="36"/>
          <w:szCs w:val="36"/>
        </w:rPr>
      </w:pPr>
    </w:p>
    <w:p w14:paraId="397770E2">
      <w:pPr>
        <w:spacing w:after="156" w:afterLines="50"/>
        <w:jc w:val="center"/>
        <w:rPr>
          <w:rFonts w:hint="eastAsia" w:ascii="黑体" w:hAnsi="黑体" w:eastAsia="黑体"/>
          <w:sz w:val="36"/>
          <w:szCs w:val="36"/>
        </w:rPr>
      </w:pPr>
    </w:p>
    <w:p w14:paraId="0B99C957">
      <w:pPr>
        <w:spacing w:after="156" w:afterLines="50"/>
        <w:jc w:val="center"/>
        <w:rPr>
          <w:rFonts w:hint="eastAsia" w:ascii="黑体" w:hAnsi="黑体" w:eastAsia="黑体"/>
          <w:sz w:val="36"/>
          <w:szCs w:val="36"/>
        </w:rPr>
      </w:pPr>
    </w:p>
    <w:tbl>
      <w:tblPr>
        <w:tblStyle w:val="4"/>
        <w:tblW w:w="0" w:type="auto"/>
        <w:tblInd w:w="0" w:type="dxa"/>
        <w:tblLayout w:type="fixed"/>
        <w:tblCellMar>
          <w:top w:w="0" w:type="dxa"/>
          <w:left w:w="108" w:type="dxa"/>
          <w:bottom w:w="0" w:type="dxa"/>
          <w:right w:w="108" w:type="dxa"/>
        </w:tblCellMar>
      </w:tblPr>
      <w:tblGrid>
        <w:gridCol w:w="2518"/>
        <w:gridCol w:w="6010"/>
      </w:tblGrid>
      <w:tr w14:paraId="3F736414">
        <w:tc>
          <w:tcPr>
            <w:tcW w:w="2518" w:type="dxa"/>
            <w:noWrap w:val="0"/>
            <w:vAlign w:val="top"/>
          </w:tcPr>
          <w:p w14:paraId="51E5FAE9">
            <w:pPr>
              <w:spacing w:line="560" w:lineRule="exact"/>
              <w:rPr>
                <w:rFonts w:hint="eastAsia" w:ascii="黑体" w:hAnsi="黑体" w:eastAsia="黑体"/>
                <w:sz w:val="32"/>
                <w:szCs w:val="32"/>
              </w:rPr>
            </w:pPr>
            <w:r>
              <w:rPr>
                <w:rFonts w:hint="eastAsia" w:ascii="黑体" w:hAnsi="黑体" w:eastAsia="黑体"/>
                <w:sz w:val="32"/>
                <w:szCs w:val="32"/>
              </w:rPr>
              <w:t>项目名称：</w:t>
            </w:r>
          </w:p>
        </w:tc>
        <w:tc>
          <w:tcPr>
            <w:tcW w:w="6010" w:type="dxa"/>
            <w:noWrap w:val="0"/>
            <w:vAlign w:val="top"/>
          </w:tcPr>
          <w:p w14:paraId="5F6D1BC5">
            <w:pPr>
              <w:pStyle w:val="2"/>
              <w:spacing w:line="560" w:lineRule="exact"/>
              <w:ind w:left="86" w:leftChars="41"/>
              <w:rPr>
                <w:rFonts w:hint="eastAsia" w:ascii="黑体" w:hAnsi="黑体" w:eastAsia="黑体"/>
                <w:sz w:val="32"/>
                <w:szCs w:val="32"/>
                <w:lang w:val="en-US" w:eastAsia="zh-CN"/>
              </w:rPr>
            </w:pPr>
            <w:r>
              <w:rPr>
                <w:rFonts w:hint="eastAsia" w:ascii="黑体" w:hAnsi="黑体" w:eastAsia="黑体"/>
                <w:sz w:val="32"/>
                <w:szCs w:val="32"/>
                <w:lang w:val="en-US" w:eastAsia="zh-CN"/>
              </w:rPr>
              <w:t>铜川市耀州区农村土地承包经营权确权登记颁证技术服务项目（部分）</w:t>
            </w:r>
          </w:p>
        </w:tc>
      </w:tr>
      <w:tr w14:paraId="256B24AD">
        <w:tblPrEx>
          <w:tblCellMar>
            <w:top w:w="0" w:type="dxa"/>
            <w:left w:w="108" w:type="dxa"/>
            <w:bottom w:w="0" w:type="dxa"/>
            <w:right w:w="108" w:type="dxa"/>
          </w:tblCellMar>
        </w:tblPrEx>
        <w:tc>
          <w:tcPr>
            <w:tcW w:w="2518" w:type="dxa"/>
            <w:noWrap w:val="0"/>
            <w:vAlign w:val="top"/>
          </w:tcPr>
          <w:p w14:paraId="2C3817C1">
            <w:pPr>
              <w:spacing w:line="560" w:lineRule="exact"/>
              <w:rPr>
                <w:rFonts w:hint="eastAsia" w:ascii="黑体" w:hAnsi="黑体" w:eastAsia="黑体"/>
                <w:sz w:val="32"/>
                <w:szCs w:val="32"/>
              </w:rPr>
            </w:pPr>
            <w:r>
              <w:rPr>
                <w:rFonts w:hint="eastAsia" w:ascii="黑体" w:hAnsi="黑体" w:eastAsia="黑体"/>
                <w:sz w:val="32"/>
                <w:szCs w:val="32"/>
              </w:rPr>
              <w:t>委托方（甲方）：</w:t>
            </w:r>
          </w:p>
        </w:tc>
        <w:tc>
          <w:tcPr>
            <w:tcW w:w="6010" w:type="dxa"/>
            <w:noWrap w:val="0"/>
            <w:vAlign w:val="top"/>
          </w:tcPr>
          <w:p w14:paraId="0D31510A">
            <w:pPr>
              <w:spacing w:line="560" w:lineRule="exact"/>
              <w:rPr>
                <w:rFonts w:hint="eastAsia" w:ascii="黑体" w:hAnsi="黑体" w:eastAsia="黑体"/>
                <w:sz w:val="32"/>
                <w:szCs w:val="32"/>
              </w:rPr>
            </w:pPr>
            <w:r>
              <w:rPr>
                <w:rFonts w:hint="eastAsia" w:ascii="黑体" w:hAnsi="黑体" w:eastAsia="黑体"/>
                <w:sz w:val="32"/>
                <w:szCs w:val="32"/>
                <w:u w:val="single"/>
              </w:rPr>
              <w:t>铜川市耀州区农业农村局</w:t>
            </w:r>
            <w:r>
              <w:rPr>
                <w:rFonts w:hint="eastAsia" w:ascii="黑体" w:hAnsi="黑体" w:eastAsia="黑体"/>
                <w:sz w:val="32"/>
                <w:szCs w:val="32"/>
              </w:rPr>
              <w:t xml:space="preserve">                </w:t>
            </w:r>
          </w:p>
        </w:tc>
      </w:tr>
      <w:tr w14:paraId="1CF50D04">
        <w:tblPrEx>
          <w:tblCellMar>
            <w:top w:w="0" w:type="dxa"/>
            <w:left w:w="108" w:type="dxa"/>
            <w:bottom w:w="0" w:type="dxa"/>
            <w:right w:w="108" w:type="dxa"/>
          </w:tblCellMar>
        </w:tblPrEx>
        <w:tc>
          <w:tcPr>
            <w:tcW w:w="2518" w:type="dxa"/>
            <w:noWrap w:val="0"/>
            <w:vAlign w:val="top"/>
          </w:tcPr>
          <w:p w14:paraId="35F353B3">
            <w:pPr>
              <w:spacing w:line="560" w:lineRule="exact"/>
              <w:rPr>
                <w:rFonts w:hint="eastAsia" w:ascii="黑体" w:hAnsi="黑体" w:eastAsia="黑体"/>
                <w:sz w:val="32"/>
                <w:szCs w:val="32"/>
              </w:rPr>
            </w:pPr>
            <w:r>
              <w:rPr>
                <w:rFonts w:hint="eastAsia" w:ascii="黑体" w:hAnsi="黑体" w:eastAsia="黑体"/>
                <w:sz w:val="32"/>
                <w:szCs w:val="32"/>
              </w:rPr>
              <w:t>承接方（乙方）：</w:t>
            </w:r>
          </w:p>
        </w:tc>
        <w:tc>
          <w:tcPr>
            <w:tcW w:w="6010" w:type="dxa"/>
            <w:noWrap w:val="0"/>
            <w:vAlign w:val="top"/>
          </w:tcPr>
          <w:p w14:paraId="770BEF5E">
            <w:pPr>
              <w:spacing w:line="560" w:lineRule="exact"/>
              <w:rPr>
                <w:rFonts w:hint="default" w:ascii="黑体" w:hAnsi="黑体" w:eastAsia="黑体"/>
                <w:sz w:val="32"/>
                <w:szCs w:val="32"/>
                <w:u w:val="single"/>
                <w:lang w:val="en-US" w:eastAsia="zh-CN"/>
              </w:rPr>
            </w:pPr>
            <w:r>
              <w:rPr>
                <w:rFonts w:hint="eastAsia" w:ascii="黑体" w:hAnsi="黑体" w:eastAsia="黑体"/>
                <w:sz w:val="32"/>
                <w:szCs w:val="32"/>
                <w:u w:val="single"/>
                <w:lang w:val="en-US" w:eastAsia="zh-CN"/>
              </w:rPr>
              <w:t xml:space="preserve">                      </w:t>
            </w:r>
          </w:p>
        </w:tc>
      </w:tr>
      <w:tr w14:paraId="0DAF3966">
        <w:tblPrEx>
          <w:tblCellMar>
            <w:top w:w="0" w:type="dxa"/>
            <w:left w:w="108" w:type="dxa"/>
            <w:bottom w:w="0" w:type="dxa"/>
            <w:right w:w="108" w:type="dxa"/>
          </w:tblCellMar>
        </w:tblPrEx>
        <w:tc>
          <w:tcPr>
            <w:tcW w:w="2518" w:type="dxa"/>
            <w:noWrap w:val="0"/>
            <w:vAlign w:val="top"/>
          </w:tcPr>
          <w:p w14:paraId="75EAF99B">
            <w:pPr>
              <w:spacing w:line="560" w:lineRule="exact"/>
              <w:rPr>
                <w:rFonts w:hint="eastAsia" w:ascii="黑体" w:hAnsi="黑体" w:eastAsia="黑体"/>
                <w:spacing w:val="20"/>
                <w:sz w:val="32"/>
                <w:szCs w:val="32"/>
              </w:rPr>
            </w:pPr>
            <w:r>
              <w:rPr>
                <w:rFonts w:hint="eastAsia" w:ascii="黑体" w:hAnsi="黑体" w:eastAsia="黑体"/>
                <w:spacing w:val="20"/>
                <w:sz w:val="32"/>
                <w:szCs w:val="32"/>
              </w:rPr>
              <w:t>签订时间：</w:t>
            </w:r>
          </w:p>
        </w:tc>
        <w:tc>
          <w:tcPr>
            <w:tcW w:w="6010" w:type="dxa"/>
            <w:noWrap w:val="0"/>
            <w:vAlign w:val="top"/>
          </w:tcPr>
          <w:p w14:paraId="250BB0F3">
            <w:pPr>
              <w:spacing w:line="560" w:lineRule="exact"/>
              <w:ind w:firstLine="640" w:firstLineChars="200"/>
              <w:rPr>
                <w:rFonts w:hint="eastAsia" w:ascii="黑体" w:hAnsi="黑体" w:eastAsia="黑体"/>
                <w:sz w:val="32"/>
                <w:szCs w:val="32"/>
              </w:rPr>
            </w:pPr>
            <w:r>
              <w:rPr>
                <w:rFonts w:hint="eastAsia" w:ascii="黑体" w:hAnsi="黑体" w:eastAsia="黑体"/>
                <w:sz w:val="32"/>
                <w:szCs w:val="32"/>
                <w:u w:val="none"/>
              </w:rPr>
              <w:t>年</w:t>
            </w:r>
            <w:r>
              <w:rPr>
                <w:rFonts w:hint="eastAsia" w:ascii="黑体" w:hAnsi="黑体" w:eastAsia="黑体"/>
                <w:sz w:val="32"/>
                <w:szCs w:val="32"/>
                <w:u w:val="none"/>
                <w:lang w:val="en-US" w:eastAsia="zh-CN"/>
              </w:rPr>
              <w:t xml:space="preserve">    </w:t>
            </w:r>
            <w:r>
              <w:rPr>
                <w:rFonts w:hint="eastAsia" w:ascii="黑体" w:hAnsi="黑体" w:eastAsia="黑体"/>
                <w:sz w:val="32"/>
                <w:szCs w:val="32"/>
                <w:u w:val="none"/>
              </w:rPr>
              <w:t>月</w:t>
            </w:r>
            <w:r>
              <w:rPr>
                <w:rFonts w:hint="eastAsia" w:ascii="黑体" w:hAnsi="黑体" w:eastAsia="黑体"/>
                <w:sz w:val="32"/>
                <w:szCs w:val="32"/>
                <w:u w:val="none"/>
                <w:lang w:val="en-US" w:eastAsia="zh-CN"/>
              </w:rPr>
              <w:t xml:space="preserve">    </w:t>
            </w:r>
            <w:r>
              <w:rPr>
                <w:rFonts w:hint="eastAsia" w:ascii="黑体" w:hAnsi="黑体" w:eastAsia="黑体"/>
                <w:sz w:val="32"/>
                <w:szCs w:val="32"/>
                <w:u w:val="none"/>
              </w:rPr>
              <w:t>日</w:t>
            </w:r>
          </w:p>
        </w:tc>
      </w:tr>
    </w:tbl>
    <w:p w14:paraId="63948CBC">
      <w:pPr>
        <w:spacing w:line="540" w:lineRule="exact"/>
        <w:ind w:firstLine="600" w:firstLineChars="200"/>
        <w:rPr>
          <w:rFonts w:ascii="仿宋_GB2312" w:eastAsia="仿宋_GB2312"/>
          <w:sz w:val="30"/>
          <w:szCs w:val="30"/>
        </w:rPr>
        <w:sectPr>
          <w:footerReference r:id="rId3" w:type="default"/>
          <w:pgSz w:w="11906" w:h="16838"/>
          <w:pgMar w:top="1701" w:right="1701" w:bottom="1701" w:left="1701" w:header="851" w:footer="992" w:gutter="0"/>
          <w:pgNumType w:start="1"/>
          <w:cols w:space="720" w:num="1"/>
          <w:docGrid w:type="lines" w:linePitch="312" w:charSpace="0"/>
        </w:sectPr>
      </w:pPr>
    </w:p>
    <w:p w14:paraId="51989118">
      <w:pPr>
        <w:snapToGrid w:val="0"/>
        <w:spacing w:line="360" w:lineRule="auto"/>
        <w:ind w:firstLine="560" w:firstLineChars="200"/>
        <w:rPr>
          <w:rFonts w:eastAsia="仿宋_GB2312"/>
          <w:bCs/>
          <w:sz w:val="28"/>
          <w:szCs w:val="28"/>
        </w:rPr>
      </w:pPr>
      <w:r>
        <w:rPr>
          <w:rFonts w:eastAsia="仿宋_GB2312"/>
          <w:bCs/>
          <w:sz w:val="28"/>
          <w:szCs w:val="28"/>
        </w:rPr>
        <w:t>根据《中华人民共和国民法典》、《中华人民共和国土地管理法》等法律、法规相关规定，经竞争性磋商采购，</w:t>
      </w:r>
      <w:r>
        <w:rPr>
          <w:rFonts w:hint="eastAsia" w:eastAsia="仿宋_GB2312"/>
          <w:bCs/>
          <w:sz w:val="28"/>
          <w:szCs w:val="28"/>
          <w:u w:val="single"/>
        </w:rPr>
        <w:t>铜川市耀州区农业农村局</w:t>
      </w:r>
      <w:r>
        <w:rPr>
          <w:rFonts w:eastAsia="仿宋_GB2312"/>
          <w:bCs/>
          <w:sz w:val="28"/>
          <w:szCs w:val="28"/>
        </w:rPr>
        <w:t>(以下简称“甲方”)确定由</w:t>
      </w:r>
      <w:r>
        <w:rPr>
          <w:rFonts w:hint="eastAsia" w:eastAsia="仿宋_GB2312"/>
          <w:bCs/>
          <w:sz w:val="28"/>
          <w:szCs w:val="28"/>
          <w:u w:val="single"/>
          <w:lang w:val="en-US" w:eastAsia="zh-CN"/>
        </w:rPr>
        <w:t xml:space="preserve">       </w:t>
      </w:r>
      <w:r>
        <w:rPr>
          <w:rFonts w:eastAsia="仿宋_GB2312"/>
          <w:bCs/>
          <w:sz w:val="28"/>
          <w:szCs w:val="28"/>
        </w:rPr>
        <w:t>（以下简称“乙方”）承担</w:t>
      </w:r>
      <w:r>
        <w:rPr>
          <w:rFonts w:hint="eastAsia" w:eastAsia="仿宋_GB2312"/>
          <w:bCs/>
          <w:sz w:val="28"/>
          <w:szCs w:val="28"/>
          <w:u w:val="single"/>
        </w:rPr>
        <w:t>铜川市耀州区农村土地承包经营权确权登记颁证技术服务项目（部分）</w:t>
      </w:r>
      <w:r>
        <w:rPr>
          <w:rFonts w:eastAsia="仿宋_GB2312"/>
          <w:bCs/>
          <w:sz w:val="28"/>
          <w:szCs w:val="28"/>
        </w:rPr>
        <w:t>工作，经双方友好协商，在平等互利的原则下，签订本合同，双方应共同遵守。</w:t>
      </w:r>
    </w:p>
    <w:p w14:paraId="62D2125E">
      <w:pPr>
        <w:snapToGrid w:val="0"/>
        <w:spacing w:line="360" w:lineRule="auto"/>
        <w:ind w:firstLine="562" w:firstLineChars="200"/>
        <w:outlineLvl w:val="0"/>
        <w:rPr>
          <w:rFonts w:eastAsia="仿宋_GB2312"/>
          <w:b/>
          <w:sz w:val="28"/>
          <w:szCs w:val="28"/>
        </w:rPr>
      </w:pPr>
      <w:r>
        <w:rPr>
          <w:rFonts w:eastAsia="仿宋_GB2312"/>
          <w:b/>
          <w:sz w:val="28"/>
          <w:szCs w:val="28"/>
        </w:rPr>
        <w:t>一、工作内容</w:t>
      </w:r>
    </w:p>
    <w:p w14:paraId="0358C7B2">
      <w:pPr>
        <w:snapToGrid w:val="0"/>
        <w:spacing w:line="360" w:lineRule="auto"/>
        <w:ind w:firstLine="560" w:firstLineChars="200"/>
        <w:rPr>
          <w:rFonts w:eastAsia="仿宋_GB2312"/>
          <w:bCs/>
          <w:sz w:val="28"/>
          <w:szCs w:val="28"/>
        </w:rPr>
      </w:pPr>
      <w:r>
        <w:rPr>
          <w:rFonts w:hint="eastAsia" w:eastAsia="仿宋_GB2312"/>
          <w:bCs/>
          <w:sz w:val="28"/>
          <w:szCs w:val="28"/>
        </w:rPr>
        <w:t>根据陕西省农业农村厅《关于加快整改农村土地承包经营权“应确未确”遗留问题的通知》（陕农函〔2025〕466号）和《关于分类做好农村承包地应确权未确权问题整改工作的通知》（陕农函〔2025〕606号）要求，现需要对我区11个镇办，5万余亩“应确未确”农村承包土地进行经营权确权登记颁证工作，在2025年底前，基本完成“应确未确”承包地确权工作，切实为第二轮土地承包到期后再延长30年试点工作奠定基础。</w:t>
      </w:r>
    </w:p>
    <w:p w14:paraId="5D453BA8">
      <w:pPr>
        <w:snapToGrid w:val="0"/>
        <w:spacing w:line="360" w:lineRule="auto"/>
        <w:ind w:firstLine="562" w:firstLineChars="200"/>
        <w:outlineLvl w:val="0"/>
        <w:rPr>
          <w:rFonts w:eastAsia="仿宋_GB2312"/>
          <w:b/>
          <w:sz w:val="28"/>
          <w:szCs w:val="28"/>
        </w:rPr>
      </w:pPr>
      <w:r>
        <w:rPr>
          <w:rFonts w:eastAsia="仿宋_GB2312"/>
          <w:b/>
          <w:sz w:val="28"/>
          <w:szCs w:val="28"/>
        </w:rPr>
        <w:t>二、合同价款</w:t>
      </w:r>
      <w:bookmarkStart w:id="0" w:name="_GoBack"/>
      <w:bookmarkEnd w:id="0"/>
    </w:p>
    <w:p w14:paraId="5FA7049D">
      <w:pPr>
        <w:snapToGrid w:val="0"/>
        <w:spacing w:line="360" w:lineRule="auto"/>
        <w:ind w:firstLine="560" w:firstLineChars="200"/>
        <w:rPr>
          <w:rFonts w:eastAsia="仿宋_GB2312"/>
          <w:bCs/>
          <w:sz w:val="28"/>
          <w:szCs w:val="28"/>
          <w:u w:val="single"/>
        </w:rPr>
      </w:pPr>
      <w:r>
        <w:rPr>
          <w:rFonts w:eastAsia="仿宋_GB2312"/>
          <w:bCs/>
          <w:sz w:val="28"/>
          <w:szCs w:val="28"/>
        </w:rPr>
        <w:t>1、项目合同总价为人民币</w:t>
      </w:r>
      <w:r>
        <w:rPr>
          <w:rFonts w:hint="eastAsia" w:eastAsia="仿宋_GB2312"/>
          <w:bCs/>
          <w:sz w:val="28"/>
          <w:szCs w:val="28"/>
          <w:u w:val="single"/>
          <w:lang w:val="en-US" w:eastAsia="zh-CN"/>
        </w:rPr>
        <w:t xml:space="preserve">     </w:t>
      </w:r>
      <w:r>
        <w:rPr>
          <w:rFonts w:eastAsia="仿宋_GB2312"/>
          <w:bCs/>
          <w:sz w:val="28"/>
          <w:szCs w:val="28"/>
        </w:rPr>
        <w:t>元</w:t>
      </w:r>
      <w:r>
        <w:rPr>
          <w:rFonts w:eastAsia="仿宋_GB2312"/>
          <w:bCs/>
          <w:sz w:val="28"/>
          <w:szCs w:val="28"/>
          <w:u w:val="single"/>
        </w:rPr>
        <w:t>（大写：</w:t>
      </w:r>
      <w:r>
        <w:rPr>
          <w:rFonts w:hint="eastAsia" w:eastAsia="仿宋_GB2312"/>
          <w:bCs/>
          <w:sz w:val="28"/>
          <w:szCs w:val="28"/>
          <w:u w:val="single"/>
          <w:lang w:val="en-US" w:eastAsia="zh-CN"/>
        </w:rPr>
        <w:t xml:space="preserve"> </w:t>
      </w:r>
      <w:r>
        <w:rPr>
          <w:rFonts w:eastAsia="仿宋_GB2312"/>
          <w:bCs/>
          <w:sz w:val="28"/>
          <w:szCs w:val="28"/>
          <w:u w:val="single"/>
        </w:rPr>
        <w:t>）。</w:t>
      </w:r>
    </w:p>
    <w:p w14:paraId="7B8720F1">
      <w:pPr>
        <w:snapToGrid w:val="0"/>
        <w:spacing w:line="360" w:lineRule="auto"/>
        <w:ind w:firstLine="560" w:firstLineChars="200"/>
        <w:rPr>
          <w:rFonts w:eastAsia="仿宋_GB2312"/>
          <w:bCs/>
          <w:sz w:val="28"/>
          <w:szCs w:val="28"/>
        </w:rPr>
      </w:pPr>
      <w:r>
        <w:rPr>
          <w:rFonts w:eastAsia="仿宋_GB2312"/>
          <w:bCs/>
          <w:sz w:val="28"/>
          <w:szCs w:val="28"/>
        </w:rPr>
        <w:t>2、合同总价包括：合同内全部费用。</w:t>
      </w:r>
    </w:p>
    <w:p w14:paraId="2DB79459">
      <w:pPr>
        <w:snapToGrid w:val="0"/>
        <w:spacing w:line="360" w:lineRule="auto"/>
        <w:ind w:firstLine="560" w:firstLineChars="200"/>
        <w:rPr>
          <w:rFonts w:eastAsia="仿宋_GB2312"/>
          <w:bCs/>
          <w:sz w:val="28"/>
          <w:szCs w:val="28"/>
        </w:rPr>
      </w:pPr>
      <w:r>
        <w:rPr>
          <w:rFonts w:eastAsia="仿宋_GB2312"/>
          <w:bCs/>
          <w:sz w:val="28"/>
          <w:szCs w:val="28"/>
        </w:rPr>
        <w:t>3、合同为固定总价合同，不受市场价变化的影响。</w:t>
      </w:r>
    </w:p>
    <w:p w14:paraId="645FC792">
      <w:pPr>
        <w:snapToGrid w:val="0"/>
        <w:spacing w:line="360" w:lineRule="auto"/>
        <w:ind w:firstLine="562" w:firstLineChars="200"/>
        <w:outlineLvl w:val="0"/>
        <w:rPr>
          <w:rFonts w:eastAsia="仿宋_GB2312"/>
          <w:b/>
          <w:sz w:val="28"/>
          <w:szCs w:val="28"/>
        </w:rPr>
      </w:pPr>
      <w:r>
        <w:rPr>
          <w:rFonts w:eastAsia="仿宋_GB2312"/>
          <w:b/>
          <w:sz w:val="28"/>
          <w:szCs w:val="28"/>
        </w:rPr>
        <w:t>三、合同结算</w:t>
      </w:r>
    </w:p>
    <w:p w14:paraId="66A9F342">
      <w:pPr>
        <w:snapToGrid w:val="0"/>
        <w:spacing w:line="360" w:lineRule="auto"/>
        <w:ind w:firstLine="560" w:firstLineChars="200"/>
        <w:rPr>
          <w:rFonts w:eastAsia="仿宋_GB2312"/>
          <w:bCs/>
          <w:sz w:val="28"/>
          <w:szCs w:val="28"/>
        </w:rPr>
      </w:pPr>
      <w:r>
        <w:rPr>
          <w:rFonts w:eastAsia="仿宋_GB2312"/>
          <w:bCs/>
          <w:sz w:val="28"/>
          <w:szCs w:val="28"/>
        </w:rPr>
        <w:t>（一）付款方式</w:t>
      </w:r>
    </w:p>
    <w:p w14:paraId="0336BF31">
      <w:pPr>
        <w:snapToGrid w:val="0"/>
        <w:spacing w:line="360" w:lineRule="auto"/>
        <w:ind w:firstLine="560" w:firstLineChars="200"/>
        <w:rPr>
          <w:rFonts w:hint="eastAsia" w:eastAsia="仿宋_GB2312"/>
          <w:bCs/>
          <w:sz w:val="28"/>
          <w:szCs w:val="28"/>
        </w:rPr>
      </w:pPr>
      <w:r>
        <w:rPr>
          <w:rFonts w:hint="eastAsia" w:eastAsia="仿宋_GB2312"/>
          <w:bCs/>
          <w:sz w:val="28"/>
          <w:szCs w:val="28"/>
        </w:rPr>
        <w:t>付款条件：</w:t>
      </w:r>
    </w:p>
    <w:p w14:paraId="64B2D70D">
      <w:pPr>
        <w:snapToGrid w:val="0"/>
        <w:spacing w:line="360" w:lineRule="auto"/>
        <w:ind w:firstLine="560" w:firstLineChars="200"/>
        <w:rPr>
          <w:rFonts w:hint="eastAsia" w:eastAsia="仿宋_GB2312"/>
          <w:bCs/>
          <w:sz w:val="28"/>
          <w:szCs w:val="28"/>
          <w:lang w:eastAsia="zh-CN"/>
        </w:rPr>
      </w:pPr>
      <w:r>
        <w:rPr>
          <w:rFonts w:hint="eastAsia" w:eastAsia="仿宋_GB2312"/>
          <w:bCs/>
          <w:sz w:val="28"/>
          <w:szCs w:val="28"/>
        </w:rPr>
        <w:t>一、合同签订后15个日历日内支付合同总价款的40%</w:t>
      </w:r>
      <w:r>
        <w:rPr>
          <w:rFonts w:hint="eastAsia" w:eastAsia="仿宋_GB2312"/>
          <w:bCs/>
          <w:sz w:val="28"/>
          <w:szCs w:val="28"/>
          <w:lang w:eastAsia="zh-CN"/>
        </w:rPr>
        <w:t>，</w:t>
      </w:r>
      <w:r>
        <w:rPr>
          <w:rFonts w:hint="eastAsia" w:eastAsia="仿宋_GB2312"/>
          <w:bCs/>
          <w:sz w:val="28"/>
          <w:szCs w:val="28"/>
          <w:lang w:val="en-US" w:eastAsia="zh-CN"/>
        </w:rPr>
        <w:t>合计：</w:t>
      </w:r>
      <w:r>
        <w:rPr>
          <w:rFonts w:hint="eastAsia" w:eastAsia="仿宋_GB2312"/>
          <w:bCs/>
          <w:sz w:val="28"/>
          <w:szCs w:val="28"/>
          <w:u w:val="single"/>
          <w:lang w:val="en-US" w:eastAsia="zh-CN"/>
        </w:rPr>
        <w:t xml:space="preserve">    元</w:t>
      </w:r>
      <w:r>
        <w:rPr>
          <w:rFonts w:hint="eastAsia" w:eastAsia="仿宋_GB2312"/>
          <w:bCs/>
          <w:sz w:val="28"/>
          <w:szCs w:val="28"/>
          <w:lang w:eastAsia="zh-CN"/>
        </w:rPr>
        <w:t>；</w:t>
      </w:r>
    </w:p>
    <w:p w14:paraId="63DD8D89">
      <w:pPr>
        <w:snapToGrid w:val="0"/>
        <w:spacing w:line="360" w:lineRule="auto"/>
        <w:ind w:firstLine="560" w:firstLineChars="200"/>
        <w:rPr>
          <w:rFonts w:hint="eastAsia" w:eastAsia="仿宋_GB2312"/>
          <w:bCs/>
          <w:sz w:val="28"/>
          <w:szCs w:val="28"/>
          <w:lang w:eastAsia="zh-CN"/>
        </w:rPr>
      </w:pPr>
      <w:r>
        <w:rPr>
          <w:rFonts w:hint="eastAsia" w:eastAsia="仿宋_GB2312"/>
          <w:bCs/>
          <w:sz w:val="28"/>
          <w:szCs w:val="28"/>
        </w:rPr>
        <w:t>二、一轮公示完成7个工作日内支付合同总价款的20%</w:t>
      </w:r>
      <w:r>
        <w:rPr>
          <w:rFonts w:hint="eastAsia" w:eastAsia="仿宋_GB2312"/>
          <w:bCs/>
          <w:sz w:val="28"/>
          <w:szCs w:val="28"/>
          <w:lang w:eastAsia="zh-CN"/>
        </w:rPr>
        <w:t>，</w:t>
      </w:r>
      <w:r>
        <w:rPr>
          <w:rFonts w:hint="eastAsia" w:eastAsia="仿宋_GB2312"/>
          <w:bCs/>
          <w:sz w:val="28"/>
          <w:szCs w:val="28"/>
          <w:lang w:val="en-US" w:eastAsia="zh-CN"/>
        </w:rPr>
        <w:t>合计：</w:t>
      </w:r>
      <w:r>
        <w:rPr>
          <w:rFonts w:hint="eastAsia" w:eastAsia="仿宋_GB2312"/>
          <w:bCs/>
          <w:sz w:val="28"/>
          <w:szCs w:val="28"/>
          <w:u w:val="single"/>
          <w:lang w:val="en-US" w:eastAsia="zh-CN"/>
        </w:rPr>
        <w:t xml:space="preserve">    元</w:t>
      </w:r>
      <w:r>
        <w:rPr>
          <w:rFonts w:hint="eastAsia" w:eastAsia="仿宋_GB2312"/>
          <w:bCs/>
          <w:sz w:val="28"/>
          <w:szCs w:val="28"/>
          <w:lang w:eastAsia="zh-CN"/>
        </w:rPr>
        <w:t>；</w:t>
      </w:r>
    </w:p>
    <w:p w14:paraId="0CA19975">
      <w:pPr>
        <w:snapToGrid w:val="0"/>
        <w:spacing w:line="360" w:lineRule="auto"/>
        <w:ind w:firstLine="560" w:firstLineChars="200"/>
        <w:rPr>
          <w:rFonts w:hint="eastAsia" w:eastAsia="仿宋_GB2312"/>
          <w:bCs/>
          <w:sz w:val="28"/>
          <w:szCs w:val="28"/>
          <w:lang w:eastAsia="zh-CN"/>
        </w:rPr>
      </w:pPr>
      <w:r>
        <w:rPr>
          <w:rFonts w:hint="eastAsia" w:eastAsia="仿宋_GB2312"/>
          <w:bCs/>
          <w:sz w:val="28"/>
          <w:szCs w:val="28"/>
        </w:rPr>
        <w:t>三、二轮公示完成7个工作日内支付合同总价款的20%</w:t>
      </w:r>
      <w:r>
        <w:rPr>
          <w:rFonts w:hint="eastAsia" w:eastAsia="仿宋_GB2312"/>
          <w:bCs/>
          <w:sz w:val="28"/>
          <w:szCs w:val="28"/>
          <w:lang w:eastAsia="zh-CN"/>
        </w:rPr>
        <w:t>，</w:t>
      </w:r>
      <w:r>
        <w:rPr>
          <w:rFonts w:hint="eastAsia" w:eastAsia="仿宋_GB2312"/>
          <w:bCs/>
          <w:sz w:val="28"/>
          <w:szCs w:val="28"/>
          <w:lang w:val="en-US" w:eastAsia="zh-CN"/>
        </w:rPr>
        <w:t>合计：</w:t>
      </w:r>
      <w:r>
        <w:rPr>
          <w:rFonts w:hint="eastAsia" w:eastAsia="仿宋_GB2312"/>
          <w:bCs/>
          <w:sz w:val="28"/>
          <w:szCs w:val="28"/>
          <w:u w:val="single"/>
          <w:lang w:val="en-US" w:eastAsia="zh-CN"/>
        </w:rPr>
        <w:t xml:space="preserve">    元</w:t>
      </w:r>
      <w:r>
        <w:rPr>
          <w:rFonts w:hint="eastAsia" w:eastAsia="仿宋_GB2312"/>
          <w:bCs/>
          <w:sz w:val="28"/>
          <w:szCs w:val="28"/>
          <w:lang w:eastAsia="zh-CN"/>
        </w:rPr>
        <w:t>；</w:t>
      </w:r>
    </w:p>
    <w:p w14:paraId="2E38BEC1">
      <w:pPr>
        <w:snapToGrid w:val="0"/>
        <w:spacing w:line="360" w:lineRule="auto"/>
        <w:ind w:firstLine="560" w:firstLineChars="200"/>
        <w:rPr>
          <w:rFonts w:hint="eastAsia" w:eastAsia="仿宋_GB2312"/>
          <w:bCs/>
          <w:sz w:val="28"/>
          <w:szCs w:val="28"/>
          <w:lang w:eastAsia="zh-CN"/>
        </w:rPr>
      </w:pPr>
      <w:r>
        <w:rPr>
          <w:rFonts w:hint="eastAsia" w:eastAsia="仿宋_GB2312"/>
          <w:bCs/>
          <w:sz w:val="28"/>
          <w:szCs w:val="28"/>
        </w:rPr>
        <w:t>四、承包合同签订完成后支付合同总价款的17%</w:t>
      </w:r>
      <w:r>
        <w:rPr>
          <w:rFonts w:hint="eastAsia" w:eastAsia="仿宋_GB2312"/>
          <w:bCs/>
          <w:sz w:val="28"/>
          <w:szCs w:val="28"/>
          <w:lang w:eastAsia="zh-CN"/>
        </w:rPr>
        <w:t>，</w:t>
      </w:r>
      <w:r>
        <w:rPr>
          <w:rFonts w:hint="eastAsia" w:eastAsia="仿宋_GB2312"/>
          <w:bCs/>
          <w:sz w:val="28"/>
          <w:szCs w:val="28"/>
          <w:lang w:val="en-US" w:eastAsia="zh-CN"/>
        </w:rPr>
        <w:t>合计：</w:t>
      </w:r>
      <w:r>
        <w:rPr>
          <w:rFonts w:hint="eastAsia" w:eastAsia="仿宋_GB2312"/>
          <w:bCs/>
          <w:sz w:val="28"/>
          <w:szCs w:val="28"/>
          <w:u w:val="single"/>
          <w:lang w:val="en-US" w:eastAsia="zh-CN"/>
        </w:rPr>
        <w:t xml:space="preserve">    元</w:t>
      </w:r>
      <w:r>
        <w:rPr>
          <w:rFonts w:hint="eastAsia" w:eastAsia="仿宋_GB2312"/>
          <w:bCs/>
          <w:sz w:val="28"/>
          <w:szCs w:val="28"/>
          <w:lang w:eastAsia="zh-CN"/>
        </w:rPr>
        <w:t>；</w:t>
      </w:r>
    </w:p>
    <w:p w14:paraId="4AB32578">
      <w:pPr>
        <w:snapToGrid w:val="0"/>
        <w:spacing w:line="360" w:lineRule="auto"/>
        <w:ind w:firstLine="560" w:firstLineChars="200"/>
        <w:rPr>
          <w:rFonts w:hint="eastAsia" w:eastAsia="仿宋_GB2312"/>
          <w:bCs/>
          <w:sz w:val="28"/>
          <w:szCs w:val="28"/>
        </w:rPr>
      </w:pPr>
      <w:r>
        <w:rPr>
          <w:rFonts w:hint="eastAsia" w:eastAsia="仿宋_GB2312"/>
          <w:bCs/>
          <w:sz w:val="28"/>
          <w:szCs w:val="28"/>
        </w:rPr>
        <w:t>五、项目通过验收后支付合同总价款的3%</w:t>
      </w:r>
      <w:r>
        <w:rPr>
          <w:rFonts w:hint="eastAsia" w:eastAsia="仿宋_GB2312"/>
          <w:bCs/>
          <w:sz w:val="28"/>
          <w:szCs w:val="28"/>
          <w:lang w:eastAsia="zh-CN"/>
        </w:rPr>
        <w:t>，</w:t>
      </w:r>
      <w:r>
        <w:rPr>
          <w:rFonts w:hint="eastAsia" w:eastAsia="仿宋_GB2312"/>
          <w:bCs/>
          <w:sz w:val="28"/>
          <w:szCs w:val="28"/>
          <w:lang w:val="en-US" w:eastAsia="zh-CN"/>
        </w:rPr>
        <w:t>合计：</w:t>
      </w:r>
      <w:r>
        <w:rPr>
          <w:rFonts w:hint="eastAsia" w:eastAsia="仿宋_GB2312"/>
          <w:bCs/>
          <w:sz w:val="28"/>
          <w:szCs w:val="28"/>
          <w:u w:val="single"/>
          <w:lang w:val="en-US" w:eastAsia="zh-CN"/>
        </w:rPr>
        <w:t xml:space="preserve">    元</w:t>
      </w:r>
      <w:r>
        <w:rPr>
          <w:rFonts w:hint="eastAsia" w:eastAsia="仿宋_GB2312"/>
          <w:bCs/>
          <w:sz w:val="28"/>
          <w:szCs w:val="28"/>
        </w:rPr>
        <w:t>。</w:t>
      </w:r>
    </w:p>
    <w:p w14:paraId="53C56CCF">
      <w:pPr>
        <w:snapToGrid w:val="0"/>
        <w:spacing w:line="360" w:lineRule="auto"/>
        <w:ind w:firstLine="560" w:firstLineChars="200"/>
        <w:rPr>
          <w:rFonts w:eastAsia="仿宋_GB2312"/>
          <w:bCs/>
          <w:sz w:val="28"/>
          <w:szCs w:val="28"/>
        </w:rPr>
      </w:pPr>
      <w:r>
        <w:rPr>
          <w:rFonts w:eastAsia="仿宋_GB2312"/>
          <w:bCs/>
          <w:sz w:val="28"/>
          <w:szCs w:val="28"/>
        </w:rPr>
        <w:t>（二）结算方式：银行转账。</w:t>
      </w:r>
    </w:p>
    <w:p w14:paraId="3B923317">
      <w:pPr>
        <w:snapToGrid w:val="0"/>
        <w:spacing w:line="360" w:lineRule="auto"/>
        <w:ind w:firstLine="560" w:firstLineChars="200"/>
        <w:rPr>
          <w:rFonts w:eastAsia="仿宋_GB2312"/>
          <w:bCs/>
          <w:sz w:val="28"/>
          <w:szCs w:val="28"/>
        </w:rPr>
      </w:pPr>
      <w:r>
        <w:rPr>
          <w:rFonts w:eastAsia="仿宋_GB2312"/>
          <w:bCs/>
          <w:sz w:val="28"/>
          <w:szCs w:val="28"/>
        </w:rPr>
        <w:t>（三）乙方账户信息</w:t>
      </w:r>
    </w:p>
    <w:p w14:paraId="63E76092">
      <w:pPr>
        <w:snapToGrid w:val="0"/>
        <w:spacing w:line="360" w:lineRule="auto"/>
        <w:ind w:firstLine="560" w:firstLineChars="200"/>
        <w:rPr>
          <w:rFonts w:hint="default" w:eastAsia="仿宋_GB2312"/>
          <w:bCs/>
          <w:sz w:val="28"/>
          <w:szCs w:val="28"/>
          <w:u w:val="single"/>
          <w:lang w:val="en-US" w:eastAsia="zh-CN"/>
        </w:rPr>
      </w:pPr>
      <w:r>
        <w:rPr>
          <w:rFonts w:eastAsia="仿宋_GB2312"/>
          <w:bCs/>
          <w:sz w:val="28"/>
          <w:szCs w:val="28"/>
        </w:rPr>
        <w:t>税号：</w:t>
      </w:r>
      <w:r>
        <w:rPr>
          <w:rFonts w:hint="eastAsia" w:eastAsia="仿宋_GB2312"/>
          <w:bCs/>
          <w:sz w:val="28"/>
          <w:szCs w:val="28"/>
          <w:u w:val="single"/>
          <w:lang w:val="en-US" w:eastAsia="zh-CN"/>
        </w:rPr>
        <w:t xml:space="preserve">                   </w:t>
      </w:r>
    </w:p>
    <w:p w14:paraId="60663E2A">
      <w:pPr>
        <w:snapToGrid w:val="0"/>
        <w:spacing w:line="360" w:lineRule="auto"/>
        <w:ind w:firstLine="560" w:firstLineChars="200"/>
        <w:rPr>
          <w:rFonts w:hint="default" w:eastAsia="仿宋_GB2312"/>
          <w:bCs/>
          <w:sz w:val="28"/>
          <w:szCs w:val="28"/>
          <w:u w:val="single"/>
          <w:lang w:val="en-US" w:eastAsia="zh-CN"/>
        </w:rPr>
      </w:pPr>
      <w:r>
        <w:rPr>
          <w:rFonts w:eastAsia="仿宋_GB2312"/>
          <w:bCs/>
          <w:sz w:val="28"/>
          <w:szCs w:val="28"/>
        </w:rPr>
        <w:t>开户名称：</w:t>
      </w:r>
      <w:r>
        <w:rPr>
          <w:rFonts w:hint="eastAsia" w:eastAsia="仿宋_GB2312"/>
          <w:bCs/>
          <w:sz w:val="28"/>
          <w:szCs w:val="28"/>
          <w:u w:val="single"/>
          <w:lang w:val="en-US" w:eastAsia="zh-CN"/>
        </w:rPr>
        <w:t xml:space="preserve">               </w:t>
      </w:r>
    </w:p>
    <w:p w14:paraId="169784EF">
      <w:pPr>
        <w:snapToGrid w:val="0"/>
        <w:spacing w:line="360" w:lineRule="auto"/>
        <w:ind w:firstLine="560" w:firstLineChars="200"/>
        <w:rPr>
          <w:rFonts w:hint="default" w:eastAsia="仿宋_GB2312"/>
          <w:bCs/>
          <w:sz w:val="28"/>
          <w:szCs w:val="28"/>
          <w:u w:val="single"/>
          <w:lang w:val="en-US" w:eastAsia="zh-CN"/>
        </w:rPr>
      </w:pPr>
      <w:r>
        <w:rPr>
          <w:rFonts w:eastAsia="仿宋_GB2312"/>
          <w:bCs/>
          <w:sz w:val="28"/>
          <w:szCs w:val="28"/>
        </w:rPr>
        <w:t>开户银行：</w:t>
      </w:r>
      <w:r>
        <w:rPr>
          <w:rFonts w:hint="eastAsia" w:eastAsia="仿宋_GB2312"/>
          <w:bCs/>
          <w:sz w:val="28"/>
          <w:szCs w:val="28"/>
          <w:u w:val="single"/>
          <w:lang w:val="en-US" w:eastAsia="zh-CN"/>
        </w:rPr>
        <w:t xml:space="preserve">               </w:t>
      </w:r>
    </w:p>
    <w:p w14:paraId="0439AD99">
      <w:pPr>
        <w:snapToGrid w:val="0"/>
        <w:spacing w:line="360" w:lineRule="auto"/>
        <w:ind w:firstLine="560" w:firstLineChars="200"/>
        <w:rPr>
          <w:rFonts w:hint="default" w:eastAsia="仿宋_GB2312"/>
          <w:bCs/>
          <w:sz w:val="28"/>
          <w:szCs w:val="28"/>
          <w:u w:val="single"/>
          <w:lang w:val="en-US" w:eastAsia="zh-CN"/>
        </w:rPr>
      </w:pPr>
      <w:r>
        <w:rPr>
          <w:rFonts w:eastAsia="仿宋_GB2312"/>
          <w:bCs/>
          <w:sz w:val="28"/>
          <w:szCs w:val="28"/>
        </w:rPr>
        <w:t>银行</w:t>
      </w:r>
      <w:r>
        <w:rPr>
          <w:rFonts w:hint="eastAsia" w:eastAsia="仿宋_GB2312"/>
          <w:bCs/>
          <w:sz w:val="28"/>
          <w:szCs w:val="28"/>
          <w:lang w:val="en-US" w:eastAsia="zh-CN"/>
        </w:rPr>
        <w:t>账</w:t>
      </w:r>
      <w:r>
        <w:rPr>
          <w:rFonts w:eastAsia="仿宋_GB2312"/>
          <w:bCs/>
          <w:sz w:val="28"/>
          <w:szCs w:val="28"/>
        </w:rPr>
        <w:t>号：</w:t>
      </w:r>
      <w:r>
        <w:rPr>
          <w:rFonts w:hint="eastAsia" w:eastAsia="仿宋_GB2312"/>
          <w:bCs/>
          <w:sz w:val="28"/>
          <w:szCs w:val="28"/>
          <w:u w:val="single"/>
          <w:lang w:val="en-US" w:eastAsia="zh-CN"/>
        </w:rPr>
        <w:t xml:space="preserve">               </w:t>
      </w:r>
    </w:p>
    <w:p w14:paraId="2B6CA942">
      <w:pPr>
        <w:snapToGrid w:val="0"/>
        <w:spacing w:line="360" w:lineRule="auto"/>
        <w:ind w:firstLine="560" w:firstLineChars="200"/>
        <w:rPr>
          <w:rFonts w:eastAsia="仿宋_GB2312"/>
          <w:bCs/>
          <w:sz w:val="28"/>
          <w:szCs w:val="28"/>
        </w:rPr>
      </w:pPr>
      <w:r>
        <w:rPr>
          <w:rFonts w:eastAsia="仿宋_GB2312"/>
          <w:bCs/>
          <w:sz w:val="28"/>
          <w:szCs w:val="28"/>
        </w:rPr>
        <w:t>（四）结算单位：</w:t>
      </w:r>
      <w:r>
        <w:rPr>
          <w:rFonts w:hint="eastAsia" w:eastAsia="仿宋_GB2312"/>
          <w:bCs/>
          <w:sz w:val="28"/>
          <w:szCs w:val="28"/>
          <w:u w:val="single"/>
          <w:lang w:val="en-US" w:eastAsia="zh-CN"/>
        </w:rPr>
        <w:t xml:space="preserve">          </w:t>
      </w:r>
      <w:r>
        <w:rPr>
          <w:rFonts w:eastAsia="仿宋_GB2312"/>
          <w:bCs/>
          <w:sz w:val="28"/>
          <w:szCs w:val="28"/>
        </w:rPr>
        <w:t>。</w:t>
      </w:r>
    </w:p>
    <w:p w14:paraId="555CAC00">
      <w:pPr>
        <w:snapToGrid w:val="0"/>
        <w:spacing w:line="360" w:lineRule="auto"/>
        <w:ind w:firstLine="562" w:firstLineChars="200"/>
        <w:outlineLvl w:val="0"/>
        <w:rPr>
          <w:rFonts w:eastAsia="仿宋_GB2312"/>
          <w:b/>
          <w:sz w:val="28"/>
          <w:szCs w:val="28"/>
        </w:rPr>
      </w:pPr>
      <w:r>
        <w:rPr>
          <w:rFonts w:eastAsia="仿宋_GB2312"/>
          <w:b/>
          <w:sz w:val="28"/>
          <w:szCs w:val="28"/>
        </w:rPr>
        <w:t>四、履行期限、地点</w:t>
      </w:r>
    </w:p>
    <w:p w14:paraId="10066F6F">
      <w:pPr>
        <w:snapToGrid w:val="0"/>
        <w:spacing w:line="360" w:lineRule="auto"/>
        <w:ind w:firstLine="560" w:firstLineChars="200"/>
        <w:rPr>
          <w:rFonts w:eastAsia="仿宋_GB2312"/>
          <w:bCs/>
          <w:sz w:val="28"/>
          <w:szCs w:val="28"/>
        </w:rPr>
      </w:pPr>
      <w:r>
        <w:rPr>
          <w:rFonts w:eastAsia="仿宋_GB2312"/>
          <w:bCs/>
          <w:sz w:val="28"/>
          <w:szCs w:val="28"/>
        </w:rPr>
        <w:t>1、履行期限：</w:t>
      </w:r>
      <w:r>
        <w:rPr>
          <w:rFonts w:hint="eastAsia" w:eastAsia="仿宋_GB2312"/>
          <w:bCs/>
          <w:sz w:val="28"/>
          <w:szCs w:val="28"/>
          <w:lang w:val="en-US" w:eastAsia="zh-CN"/>
        </w:rPr>
        <w:t>2025年12月31日前完成</w:t>
      </w:r>
      <w:r>
        <w:rPr>
          <w:rFonts w:eastAsia="仿宋_GB2312"/>
          <w:bCs/>
          <w:sz w:val="28"/>
          <w:szCs w:val="28"/>
        </w:rPr>
        <w:t>。</w:t>
      </w:r>
    </w:p>
    <w:p w14:paraId="36949B54">
      <w:pPr>
        <w:snapToGrid w:val="0"/>
        <w:spacing w:line="360" w:lineRule="auto"/>
        <w:ind w:firstLine="560" w:firstLineChars="200"/>
        <w:rPr>
          <w:rFonts w:eastAsia="仿宋_GB2312"/>
          <w:bCs/>
          <w:sz w:val="28"/>
          <w:szCs w:val="28"/>
        </w:rPr>
      </w:pPr>
      <w:r>
        <w:rPr>
          <w:rFonts w:eastAsia="仿宋_GB2312"/>
          <w:bCs/>
          <w:sz w:val="28"/>
          <w:szCs w:val="28"/>
        </w:rPr>
        <w:t>2、地点：</w:t>
      </w:r>
      <w:r>
        <w:rPr>
          <w:rFonts w:hint="eastAsia" w:eastAsia="仿宋_GB2312"/>
          <w:bCs/>
          <w:sz w:val="28"/>
          <w:szCs w:val="28"/>
          <w:lang w:val="en-US" w:eastAsia="zh-CN"/>
        </w:rPr>
        <w:t>甲方指定地点</w:t>
      </w:r>
      <w:r>
        <w:rPr>
          <w:rFonts w:eastAsia="仿宋_GB2312"/>
          <w:bCs/>
          <w:sz w:val="28"/>
          <w:szCs w:val="28"/>
        </w:rPr>
        <w:t>。</w:t>
      </w:r>
    </w:p>
    <w:p w14:paraId="3921043F">
      <w:pPr>
        <w:snapToGrid w:val="0"/>
        <w:spacing w:line="360" w:lineRule="auto"/>
        <w:ind w:firstLine="562" w:firstLineChars="200"/>
        <w:outlineLvl w:val="0"/>
        <w:rPr>
          <w:rFonts w:eastAsia="仿宋_GB2312"/>
          <w:b/>
          <w:sz w:val="28"/>
          <w:szCs w:val="28"/>
          <w:highlight w:val="yellow"/>
        </w:rPr>
      </w:pPr>
      <w:r>
        <w:rPr>
          <w:rFonts w:eastAsia="仿宋_GB2312"/>
          <w:b/>
          <w:sz w:val="28"/>
          <w:szCs w:val="28"/>
        </w:rPr>
        <w:t>五、甲、乙方的责任和义务</w:t>
      </w:r>
    </w:p>
    <w:p w14:paraId="3BBE89CA">
      <w:pPr>
        <w:snapToGrid w:val="0"/>
        <w:spacing w:line="360" w:lineRule="auto"/>
        <w:ind w:firstLine="560" w:firstLineChars="200"/>
        <w:rPr>
          <w:rFonts w:eastAsia="仿宋_GB2312"/>
          <w:bCs/>
          <w:sz w:val="28"/>
          <w:szCs w:val="28"/>
        </w:rPr>
      </w:pPr>
      <w:r>
        <w:rPr>
          <w:rFonts w:hint="eastAsia" w:eastAsia="仿宋_GB2312"/>
          <w:bCs/>
          <w:sz w:val="28"/>
          <w:szCs w:val="28"/>
        </w:rPr>
        <w:t>（一）</w:t>
      </w:r>
      <w:r>
        <w:rPr>
          <w:rFonts w:eastAsia="仿宋_GB2312"/>
          <w:bCs/>
          <w:sz w:val="28"/>
          <w:szCs w:val="28"/>
        </w:rPr>
        <w:t>甲方的责任和义务</w:t>
      </w:r>
    </w:p>
    <w:p w14:paraId="657DE2FB">
      <w:pPr>
        <w:snapToGrid w:val="0"/>
        <w:spacing w:line="360" w:lineRule="auto"/>
        <w:ind w:firstLine="560" w:firstLineChars="200"/>
        <w:rPr>
          <w:rFonts w:eastAsia="仿宋_GB2312"/>
          <w:bCs/>
          <w:sz w:val="28"/>
          <w:szCs w:val="28"/>
        </w:rPr>
      </w:pPr>
      <w:r>
        <w:rPr>
          <w:rFonts w:eastAsia="仿宋_GB2312"/>
          <w:bCs/>
          <w:sz w:val="28"/>
          <w:szCs w:val="28"/>
        </w:rPr>
        <w:t>1、负责延包工作中的管理组织工作。包括工作部署，协调各级政府、部门配合调查工作，督办工作进展，协助乙方相关外业工作。</w:t>
      </w:r>
    </w:p>
    <w:p w14:paraId="1DD452FF">
      <w:pPr>
        <w:snapToGrid w:val="0"/>
        <w:spacing w:line="360" w:lineRule="auto"/>
        <w:ind w:firstLine="560" w:firstLineChars="200"/>
        <w:rPr>
          <w:rFonts w:eastAsia="仿宋_GB2312"/>
          <w:bCs/>
          <w:sz w:val="28"/>
          <w:szCs w:val="28"/>
        </w:rPr>
      </w:pPr>
      <w:r>
        <w:rPr>
          <w:rFonts w:eastAsia="仿宋_GB2312"/>
          <w:bCs/>
          <w:sz w:val="28"/>
          <w:szCs w:val="28"/>
        </w:rPr>
        <w:t>2、负责向乙方提供延包所需的基础数据，协调其他部门的相关数据。</w:t>
      </w:r>
    </w:p>
    <w:p w14:paraId="58FB2036">
      <w:pPr>
        <w:snapToGrid w:val="0"/>
        <w:spacing w:line="360" w:lineRule="auto"/>
        <w:ind w:firstLine="560" w:firstLineChars="200"/>
        <w:rPr>
          <w:rFonts w:eastAsia="仿宋_GB2312"/>
          <w:bCs/>
          <w:sz w:val="28"/>
          <w:szCs w:val="28"/>
        </w:rPr>
      </w:pPr>
      <w:r>
        <w:rPr>
          <w:rFonts w:eastAsia="仿宋_GB2312"/>
          <w:bCs/>
          <w:sz w:val="28"/>
          <w:szCs w:val="28"/>
        </w:rPr>
        <w:t>3、对项目的工作进度、质量等情况进行监督检查，并要求乙方按甲方 要求进行整改。</w:t>
      </w:r>
    </w:p>
    <w:p w14:paraId="54B00394">
      <w:pPr>
        <w:snapToGrid w:val="0"/>
        <w:spacing w:line="360" w:lineRule="auto"/>
        <w:ind w:firstLine="560" w:firstLineChars="200"/>
        <w:rPr>
          <w:rFonts w:eastAsia="仿宋_GB2312"/>
          <w:bCs/>
          <w:sz w:val="28"/>
          <w:szCs w:val="28"/>
        </w:rPr>
      </w:pPr>
      <w:r>
        <w:rPr>
          <w:rFonts w:eastAsia="仿宋_GB2312"/>
          <w:bCs/>
          <w:sz w:val="28"/>
          <w:szCs w:val="28"/>
        </w:rPr>
        <w:t>4、负责土地承包经营权二轮延保工作的政策文件解释，对二轮延包工作成果进行审定，提出意见建议。</w:t>
      </w:r>
    </w:p>
    <w:p w14:paraId="7DBFF323">
      <w:pPr>
        <w:snapToGrid w:val="0"/>
        <w:spacing w:line="360" w:lineRule="auto"/>
        <w:ind w:firstLine="560" w:firstLineChars="200"/>
        <w:rPr>
          <w:rFonts w:eastAsia="仿宋_GB2312"/>
          <w:bCs/>
          <w:sz w:val="28"/>
          <w:szCs w:val="28"/>
        </w:rPr>
      </w:pPr>
      <w:r>
        <w:rPr>
          <w:rFonts w:eastAsia="仿宋_GB2312"/>
          <w:bCs/>
          <w:sz w:val="28"/>
          <w:szCs w:val="28"/>
        </w:rPr>
        <w:t>5、根据本合同约定及时向乙方支付项目款。</w:t>
      </w:r>
    </w:p>
    <w:p w14:paraId="4B411926">
      <w:pPr>
        <w:snapToGrid w:val="0"/>
        <w:spacing w:line="360" w:lineRule="auto"/>
        <w:ind w:firstLine="560" w:firstLineChars="200"/>
        <w:rPr>
          <w:rFonts w:eastAsia="仿宋_GB2312"/>
          <w:bCs/>
          <w:sz w:val="28"/>
          <w:szCs w:val="28"/>
        </w:rPr>
      </w:pPr>
      <w:r>
        <w:rPr>
          <w:rFonts w:hint="eastAsia" w:eastAsia="仿宋_GB2312"/>
          <w:bCs/>
          <w:sz w:val="28"/>
          <w:szCs w:val="28"/>
        </w:rPr>
        <w:t>（二）</w:t>
      </w:r>
      <w:r>
        <w:rPr>
          <w:rFonts w:eastAsia="仿宋_GB2312"/>
          <w:bCs/>
          <w:sz w:val="28"/>
          <w:szCs w:val="28"/>
        </w:rPr>
        <w:t>乙方的责任和义务</w:t>
      </w:r>
    </w:p>
    <w:p w14:paraId="32871F64">
      <w:pPr>
        <w:snapToGrid w:val="0"/>
        <w:spacing w:line="360" w:lineRule="auto"/>
        <w:ind w:firstLine="560" w:firstLineChars="200"/>
        <w:rPr>
          <w:rFonts w:eastAsia="仿宋_GB2312"/>
          <w:bCs/>
          <w:sz w:val="28"/>
          <w:szCs w:val="28"/>
        </w:rPr>
      </w:pPr>
      <w:r>
        <w:rPr>
          <w:rFonts w:eastAsia="仿宋_GB2312"/>
          <w:bCs/>
          <w:sz w:val="28"/>
          <w:szCs w:val="28"/>
        </w:rPr>
        <w:t>1、按甲方要求组织相应的人力资源和技术条件，明确专人与甲方联系，并应将乙方专人姓名及联系方式告知甲方。</w:t>
      </w:r>
    </w:p>
    <w:p w14:paraId="7D804263">
      <w:pPr>
        <w:snapToGrid w:val="0"/>
        <w:spacing w:line="360" w:lineRule="auto"/>
        <w:ind w:firstLine="560" w:firstLineChars="200"/>
        <w:rPr>
          <w:rFonts w:eastAsia="仿宋_GB2312"/>
          <w:bCs/>
          <w:sz w:val="28"/>
          <w:szCs w:val="28"/>
        </w:rPr>
      </w:pPr>
      <w:r>
        <w:rPr>
          <w:rFonts w:eastAsia="仿宋_GB2312"/>
          <w:bCs/>
          <w:sz w:val="28"/>
          <w:szCs w:val="28"/>
        </w:rPr>
        <w:t>2、按照相关技术要求完成合同约定各项工作与任务，配合甲方的监督检查并及时提供相关资料，最终确保项目通过验收。</w:t>
      </w:r>
    </w:p>
    <w:p w14:paraId="14942078">
      <w:pPr>
        <w:snapToGrid w:val="0"/>
        <w:spacing w:line="360" w:lineRule="auto"/>
        <w:ind w:firstLine="560" w:firstLineChars="200"/>
        <w:rPr>
          <w:rFonts w:eastAsia="仿宋_GB2312"/>
          <w:bCs/>
          <w:sz w:val="28"/>
          <w:szCs w:val="28"/>
        </w:rPr>
      </w:pPr>
      <w:r>
        <w:rPr>
          <w:rFonts w:eastAsia="仿宋_GB2312"/>
          <w:bCs/>
          <w:sz w:val="28"/>
          <w:szCs w:val="28"/>
        </w:rPr>
        <w:t>3、对工作中应由甲方解决的问题，及时与甲方进行沟通，并提出具体要求，保证工作正常开展。</w:t>
      </w:r>
    </w:p>
    <w:p w14:paraId="0EB8F092">
      <w:pPr>
        <w:snapToGrid w:val="0"/>
        <w:spacing w:line="360" w:lineRule="auto"/>
        <w:ind w:firstLine="560" w:firstLineChars="200"/>
        <w:rPr>
          <w:rFonts w:eastAsia="仿宋_GB2312"/>
          <w:bCs/>
          <w:sz w:val="28"/>
          <w:szCs w:val="28"/>
        </w:rPr>
      </w:pPr>
      <w:r>
        <w:rPr>
          <w:rFonts w:eastAsia="仿宋_GB2312"/>
          <w:bCs/>
          <w:sz w:val="28"/>
          <w:szCs w:val="28"/>
        </w:rPr>
        <w:t>4、负责二轮延包的数据整理汇交工作，按要求向甲方提交成果资料。</w:t>
      </w:r>
    </w:p>
    <w:p w14:paraId="20966D4B">
      <w:pPr>
        <w:snapToGrid w:val="0"/>
        <w:spacing w:line="360" w:lineRule="auto"/>
        <w:ind w:firstLine="560" w:firstLineChars="200"/>
        <w:rPr>
          <w:rFonts w:eastAsia="仿宋_GB2312"/>
          <w:bCs/>
          <w:sz w:val="28"/>
          <w:szCs w:val="28"/>
          <w:highlight w:val="yellow"/>
        </w:rPr>
      </w:pPr>
      <w:r>
        <w:rPr>
          <w:rFonts w:eastAsia="仿宋_GB2312"/>
          <w:bCs/>
          <w:sz w:val="28"/>
          <w:szCs w:val="28"/>
        </w:rPr>
        <w:t>5、负责成果资料的保密，未经甲方许可，不得将数据和甲方提供资料外泄或改作其他用途。</w:t>
      </w:r>
    </w:p>
    <w:p w14:paraId="7E63B9D6">
      <w:pPr>
        <w:snapToGrid w:val="0"/>
        <w:spacing w:line="360" w:lineRule="auto"/>
        <w:ind w:firstLine="562" w:firstLineChars="200"/>
        <w:outlineLvl w:val="0"/>
        <w:rPr>
          <w:rFonts w:eastAsia="仿宋_GB2312"/>
          <w:b/>
          <w:sz w:val="28"/>
          <w:szCs w:val="28"/>
        </w:rPr>
      </w:pPr>
      <w:r>
        <w:rPr>
          <w:rFonts w:eastAsia="仿宋_GB2312"/>
          <w:b/>
          <w:sz w:val="28"/>
          <w:szCs w:val="28"/>
        </w:rPr>
        <w:t>六、验收</w:t>
      </w:r>
    </w:p>
    <w:p w14:paraId="57EF2F4F">
      <w:pPr>
        <w:snapToGrid w:val="0"/>
        <w:spacing w:line="360" w:lineRule="auto"/>
        <w:ind w:firstLine="560" w:firstLineChars="200"/>
        <w:rPr>
          <w:rFonts w:eastAsia="仿宋_GB2312"/>
          <w:bCs/>
          <w:sz w:val="28"/>
          <w:szCs w:val="28"/>
          <w:highlight w:val="none"/>
        </w:rPr>
      </w:pPr>
      <w:r>
        <w:rPr>
          <w:rFonts w:eastAsia="仿宋_GB2312"/>
          <w:bCs/>
          <w:sz w:val="28"/>
          <w:szCs w:val="28"/>
          <w:highlight w:val="none"/>
        </w:rPr>
        <w:t>乙方完成服务内容后，向甲方提出验收申请，甲方接到乙方验收申请后组织验收，验收合格后，出具验收</w:t>
      </w:r>
      <w:r>
        <w:rPr>
          <w:rFonts w:hint="eastAsia" w:eastAsia="仿宋_GB2312"/>
          <w:bCs/>
          <w:sz w:val="28"/>
          <w:szCs w:val="28"/>
          <w:highlight w:val="none"/>
        </w:rPr>
        <w:t>意见</w:t>
      </w:r>
      <w:r>
        <w:rPr>
          <w:rFonts w:eastAsia="仿宋_GB2312"/>
          <w:bCs/>
          <w:sz w:val="28"/>
          <w:szCs w:val="28"/>
          <w:highlight w:val="none"/>
        </w:rPr>
        <w:t>。</w:t>
      </w:r>
    </w:p>
    <w:p w14:paraId="18D8D840">
      <w:pPr>
        <w:snapToGrid w:val="0"/>
        <w:spacing w:line="360" w:lineRule="auto"/>
        <w:ind w:firstLine="562" w:firstLineChars="200"/>
        <w:outlineLvl w:val="0"/>
        <w:rPr>
          <w:rFonts w:eastAsia="仿宋_GB2312"/>
          <w:b/>
          <w:sz w:val="28"/>
          <w:szCs w:val="28"/>
        </w:rPr>
      </w:pPr>
      <w:r>
        <w:rPr>
          <w:rFonts w:eastAsia="仿宋_GB2312"/>
          <w:b/>
          <w:sz w:val="28"/>
          <w:szCs w:val="28"/>
        </w:rPr>
        <w:t>七、违约责任</w:t>
      </w:r>
    </w:p>
    <w:p w14:paraId="0C42D9A9">
      <w:pPr>
        <w:snapToGrid w:val="0"/>
        <w:spacing w:line="360" w:lineRule="auto"/>
        <w:ind w:firstLine="560" w:firstLineChars="200"/>
        <w:rPr>
          <w:rFonts w:eastAsia="仿宋_GB2312"/>
          <w:bCs/>
          <w:sz w:val="28"/>
          <w:szCs w:val="28"/>
        </w:rPr>
      </w:pPr>
      <w:r>
        <w:rPr>
          <w:rFonts w:eastAsia="仿宋_GB2312"/>
          <w:bCs/>
          <w:sz w:val="28"/>
          <w:szCs w:val="28"/>
        </w:rPr>
        <w:t>1、按《中华人民共和国民法典》中的相关条款执行。</w:t>
      </w:r>
    </w:p>
    <w:p w14:paraId="552B5CBF">
      <w:pPr>
        <w:snapToGrid w:val="0"/>
        <w:spacing w:line="360" w:lineRule="auto"/>
        <w:ind w:firstLine="560" w:firstLineChars="200"/>
        <w:rPr>
          <w:rFonts w:eastAsia="仿宋_GB2312"/>
          <w:bCs/>
          <w:sz w:val="28"/>
          <w:szCs w:val="28"/>
        </w:rPr>
      </w:pPr>
      <w:r>
        <w:rPr>
          <w:rFonts w:eastAsia="仿宋_GB2312"/>
          <w:bCs/>
          <w:sz w:val="28"/>
          <w:szCs w:val="28"/>
        </w:rPr>
        <w:t>2、在履行合同过程中，如果乙方遇到可能妨碍按时提供服务的情况，应及时以书面形式将拖延的事实，可能拖延的期限和理由通知甲方。甲方在收到乙方通知后，应尽快对情况进行评价，并确定是否通过修改合同，酌情延长服务时间。</w:t>
      </w:r>
    </w:p>
    <w:p w14:paraId="228EEB5D">
      <w:pPr>
        <w:snapToGrid w:val="0"/>
        <w:spacing w:line="360" w:lineRule="auto"/>
        <w:ind w:firstLine="560" w:firstLineChars="200"/>
        <w:rPr>
          <w:rFonts w:hint="eastAsia" w:eastAsia="仿宋_GB2312"/>
          <w:bCs/>
          <w:sz w:val="28"/>
          <w:szCs w:val="28"/>
        </w:rPr>
      </w:pPr>
      <w:r>
        <w:rPr>
          <w:rFonts w:eastAsia="仿宋_GB2312"/>
          <w:bCs/>
          <w:sz w:val="28"/>
          <w:szCs w:val="28"/>
        </w:rPr>
        <w:t>3、未按合同要求提供服务或不能满足技术要求，甲方会同监督机构有权终止合同，对乙方违约行为进行追究，同时按政府采购法的有关规定进行相应的处罚。</w:t>
      </w:r>
    </w:p>
    <w:p w14:paraId="1880A617">
      <w:pPr>
        <w:snapToGrid w:val="0"/>
        <w:spacing w:line="360" w:lineRule="auto"/>
        <w:ind w:firstLine="562" w:firstLineChars="200"/>
        <w:outlineLvl w:val="0"/>
        <w:rPr>
          <w:rFonts w:eastAsia="仿宋_GB2312"/>
          <w:b/>
          <w:sz w:val="28"/>
          <w:szCs w:val="28"/>
        </w:rPr>
      </w:pPr>
      <w:r>
        <w:rPr>
          <w:rFonts w:eastAsia="仿宋_GB2312"/>
          <w:b/>
          <w:sz w:val="28"/>
          <w:szCs w:val="28"/>
        </w:rPr>
        <w:t>九、解决争议的方法</w:t>
      </w:r>
    </w:p>
    <w:p w14:paraId="0DE106A5">
      <w:pPr>
        <w:snapToGrid w:val="0"/>
        <w:spacing w:line="360" w:lineRule="auto"/>
        <w:ind w:firstLine="560" w:firstLineChars="200"/>
        <w:rPr>
          <w:rFonts w:eastAsia="仿宋_GB2312"/>
          <w:bCs/>
          <w:sz w:val="28"/>
          <w:szCs w:val="28"/>
        </w:rPr>
      </w:pPr>
      <w:r>
        <w:rPr>
          <w:rFonts w:eastAsia="仿宋_GB2312"/>
          <w:bCs/>
          <w:sz w:val="28"/>
          <w:szCs w:val="28"/>
        </w:rPr>
        <w:t>凡因本合同引起的或与本合同有关的争议，双方应友好协商解决。协商不成时，双方均同意采用以下第</w:t>
      </w:r>
      <w:r>
        <w:rPr>
          <w:rFonts w:hint="eastAsia" w:eastAsia="仿宋_GB2312"/>
          <w:bCs/>
          <w:sz w:val="28"/>
          <w:szCs w:val="28"/>
          <w:u w:val="single"/>
        </w:rPr>
        <w:t xml:space="preserve"> 1</w:t>
      </w:r>
      <w:r>
        <w:rPr>
          <w:rFonts w:eastAsia="仿宋_GB2312"/>
          <w:bCs/>
          <w:sz w:val="28"/>
          <w:szCs w:val="28"/>
        </w:rPr>
        <w:t>种争议解决方式：</w:t>
      </w:r>
    </w:p>
    <w:p w14:paraId="1811B478">
      <w:pPr>
        <w:snapToGrid w:val="0"/>
        <w:spacing w:line="360" w:lineRule="auto"/>
        <w:ind w:firstLine="560" w:firstLineChars="200"/>
        <w:rPr>
          <w:rFonts w:eastAsia="仿宋_GB2312"/>
          <w:bCs/>
          <w:sz w:val="28"/>
          <w:szCs w:val="28"/>
        </w:rPr>
      </w:pPr>
      <w:r>
        <w:rPr>
          <w:rFonts w:eastAsia="仿宋_GB2312"/>
          <w:bCs/>
          <w:sz w:val="28"/>
          <w:szCs w:val="28"/>
        </w:rPr>
        <w:t>1、甲、乙双方均同意向（甲方所在地人民法院）提起诉讼。</w:t>
      </w:r>
    </w:p>
    <w:p w14:paraId="72E3B0B2">
      <w:pPr>
        <w:snapToGrid w:val="0"/>
        <w:spacing w:line="360" w:lineRule="auto"/>
        <w:ind w:firstLine="560" w:firstLineChars="200"/>
        <w:rPr>
          <w:rFonts w:eastAsia="仿宋_GB2312"/>
          <w:bCs/>
          <w:sz w:val="28"/>
          <w:szCs w:val="28"/>
        </w:rPr>
      </w:pPr>
      <w:r>
        <w:rPr>
          <w:rFonts w:eastAsia="仿宋_GB2312"/>
          <w:bCs/>
          <w:sz w:val="28"/>
          <w:szCs w:val="28"/>
        </w:rPr>
        <w:t>2、甲、乙双方均同意向（仲裁委员会）提起仲裁。</w:t>
      </w:r>
    </w:p>
    <w:p w14:paraId="34BA794C">
      <w:pPr>
        <w:snapToGrid w:val="0"/>
        <w:spacing w:line="360" w:lineRule="auto"/>
        <w:ind w:firstLine="562" w:firstLineChars="200"/>
        <w:outlineLvl w:val="0"/>
        <w:rPr>
          <w:rFonts w:eastAsia="仿宋_GB2312"/>
          <w:b/>
          <w:sz w:val="28"/>
          <w:szCs w:val="28"/>
        </w:rPr>
      </w:pPr>
      <w:r>
        <w:rPr>
          <w:rFonts w:eastAsia="仿宋_GB2312"/>
          <w:b/>
          <w:sz w:val="28"/>
          <w:szCs w:val="28"/>
        </w:rPr>
        <w:t>十、合同生效及其它</w:t>
      </w:r>
    </w:p>
    <w:p w14:paraId="1121FC8F">
      <w:pPr>
        <w:snapToGrid w:val="0"/>
        <w:spacing w:line="360" w:lineRule="auto"/>
        <w:ind w:firstLine="560" w:firstLineChars="200"/>
        <w:rPr>
          <w:rFonts w:eastAsia="仿宋_GB2312"/>
          <w:bCs/>
          <w:sz w:val="28"/>
          <w:szCs w:val="28"/>
        </w:rPr>
      </w:pPr>
      <w:r>
        <w:rPr>
          <w:rFonts w:eastAsia="仿宋_GB2312"/>
          <w:bCs/>
          <w:sz w:val="28"/>
          <w:szCs w:val="28"/>
        </w:rPr>
        <w:t>1、本合同执行过程中的未尽事宜，如：工作项目增减等，双方应本着实事求是，友好协商的态度加以解决并签订补充协议，补充协议与本合同具有同等法律效力。</w:t>
      </w:r>
    </w:p>
    <w:p w14:paraId="49078689">
      <w:pPr>
        <w:snapToGrid w:val="0"/>
        <w:spacing w:line="360" w:lineRule="auto"/>
        <w:ind w:firstLine="560" w:firstLineChars="200"/>
        <w:rPr>
          <w:rFonts w:eastAsia="仿宋_GB2312"/>
          <w:bCs/>
          <w:sz w:val="28"/>
          <w:szCs w:val="28"/>
        </w:rPr>
      </w:pPr>
      <w:r>
        <w:rPr>
          <w:rFonts w:eastAsia="仿宋_GB2312"/>
          <w:bCs/>
          <w:sz w:val="28"/>
          <w:szCs w:val="28"/>
        </w:rPr>
        <w:t>2、本合同由双方法定代表人签字或委托代理人签字并加盖双方公章或合同专用章之日起生效。全部成果交接完成和项目费用结算完成后，本合同终止。</w:t>
      </w:r>
    </w:p>
    <w:p w14:paraId="334AB3DA">
      <w:pPr>
        <w:snapToGrid w:val="0"/>
        <w:spacing w:line="360" w:lineRule="auto"/>
        <w:ind w:firstLine="560" w:firstLineChars="200"/>
        <w:rPr>
          <w:rFonts w:eastAsia="仿宋_GB2312"/>
          <w:bCs/>
          <w:sz w:val="28"/>
          <w:szCs w:val="28"/>
        </w:rPr>
      </w:pPr>
      <w:r>
        <w:rPr>
          <w:rFonts w:eastAsia="仿宋_GB2312"/>
          <w:bCs/>
          <w:sz w:val="28"/>
          <w:szCs w:val="28"/>
        </w:rPr>
        <w:t>3、本合同正本一式</w:t>
      </w:r>
      <w:r>
        <w:rPr>
          <w:rFonts w:eastAsia="仿宋_GB2312"/>
          <w:bCs/>
          <w:sz w:val="28"/>
          <w:szCs w:val="28"/>
          <w:u w:val="single"/>
        </w:rPr>
        <w:t>陆</w:t>
      </w:r>
      <w:r>
        <w:rPr>
          <w:rFonts w:eastAsia="仿宋_GB2312"/>
          <w:bCs/>
          <w:sz w:val="28"/>
          <w:szCs w:val="28"/>
        </w:rPr>
        <w:t>份，甲方执</w:t>
      </w:r>
      <w:r>
        <w:rPr>
          <w:rFonts w:eastAsia="仿宋_GB2312"/>
          <w:bCs/>
          <w:sz w:val="28"/>
          <w:szCs w:val="28"/>
          <w:u w:val="single"/>
        </w:rPr>
        <w:fldChar w:fldCharType="begin"/>
      </w:r>
      <w:r>
        <w:rPr>
          <w:rFonts w:eastAsia="仿宋_GB2312"/>
          <w:bCs/>
          <w:sz w:val="28"/>
          <w:szCs w:val="28"/>
          <w:u w:val="single"/>
        </w:rPr>
        <w:instrText xml:space="preserve"> = 4 \* CHINESENUM2 </w:instrText>
      </w:r>
      <w:r>
        <w:rPr>
          <w:rFonts w:eastAsia="仿宋_GB2312"/>
          <w:bCs/>
          <w:sz w:val="28"/>
          <w:szCs w:val="28"/>
          <w:u w:val="single"/>
        </w:rPr>
        <w:fldChar w:fldCharType="separate"/>
      </w:r>
      <w:r>
        <w:rPr>
          <w:rFonts w:eastAsia="仿宋_GB2312"/>
          <w:bCs/>
          <w:sz w:val="28"/>
          <w:szCs w:val="28"/>
          <w:u w:val="single"/>
        </w:rPr>
        <w:t>肆</w:t>
      </w:r>
      <w:r>
        <w:rPr>
          <w:rFonts w:eastAsia="仿宋_GB2312"/>
          <w:bCs/>
          <w:sz w:val="28"/>
          <w:szCs w:val="28"/>
          <w:u w:val="single"/>
        </w:rPr>
        <w:fldChar w:fldCharType="end"/>
      </w:r>
      <w:r>
        <w:rPr>
          <w:rFonts w:eastAsia="仿宋_GB2312"/>
          <w:bCs/>
          <w:sz w:val="28"/>
          <w:szCs w:val="28"/>
        </w:rPr>
        <w:t>份、乙方执</w:t>
      </w:r>
      <w:r>
        <w:rPr>
          <w:rFonts w:eastAsia="仿宋_GB2312"/>
          <w:bCs/>
          <w:sz w:val="28"/>
          <w:szCs w:val="28"/>
          <w:u w:val="single"/>
        </w:rPr>
        <w:fldChar w:fldCharType="begin"/>
      </w:r>
      <w:r>
        <w:rPr>
          <w:rFonts w:eastAsia="仿宋_GB2312"/>
          <w:bCs/>
          <w:sz w:val="28"/>
          <w:szCs w:val="28"/>
          <w:u w:val="single"/>
        </w:rPr>
        <w:instrText xml:space="preserve"> = 2 \* CHINESENUM2 </w:instrText>
      </w:r>
      <w:r>
        <w:rPr>
          <w:rFonts w:eastAsia="仿宋_GB2312"/>
          <w:bCs/>
          <w:sz w:val="28"/>
          <w:szCs w:val="28"/>
          <w:u w:val="single"/>
        </w:rPr>
        <w:fldChar w:fldCharType="separate"/>
      </w:r>
      <w:r>
        <w:rPr>
          <w:rFonts w:eastAsia="仿宋_GB2312"/>
          <w:bCs/>
          <w:sz w:val="28"/>
          <w:szCs w:val="28"/>
          <w:u w:val="single"/>
        </w:rPr>
        <w:t>贰</w:t>
      </w:r>
      <w:r>
        <w:rPr>
          <w:rFonts w:eastAsia="仿宋_GB2312"/>
          <w:bCs/>
          <w:sz w:val="28"/>
          <w:szCs w:val="28"/>
          <w:u w:val="single"/>
        </w:rPr>
        <w:fldChar w:fldCharType="end"/>
      </w:r>
      <w:r>
        <w:rPr>
          <w:rFonts w:eastAsia="仿宋_GB2312"/>
          <w:bCs/>
          <w:sz w:val="28"/>
          <w:szCs w:val="28"/>
        </w:rPr>
        <w:t>份，具有同等法律效力。</w:t>
      </w:r>
    </w:p>
    <w:p w14:paraId="23B882B1">
      <w:pPr>
        <w:snapToGrid w:val="0"/>
        <w:spacing w:line="360" w:lineRule="auto"/>
        <w:ind w:firstLine="560" w:firstLineChars="200"/>
        <w:rPr>
          <w:rFonts w:ascii="仿宋" w:hAnsi="仿宋" w:eastAsia="仿宋" w:cs="仿宋"/>
          <w:bCs/>
          <w:sz w:val="28"/>
          <w:szCs w:val="28"/>
        </w:rPr>
        <w:sectPr>
          <w:footerReference r:id="rId4" w:type="default"/>
          <w:pgSz w:w="11906" w:h="16838"/>
          <w:pgMar w:top="1701" w:right="1418" w:bottom="1701" w:left="1418" w:header="851" w:footer="992" w:gutter="0"/>
          <w:pgNumType w:start="1"/>
          <w:cols w:space="720" w:num="1"/>
          <w:docGrid w:type="lines" w:linePitch="312" w:charSpace="0"/>
        </w:sectPr>
      </w:pPr>
      <w:r>
        <w:rPr>
          <w:rFonts w:hint="eastAsia" w:ascii="仿宋" w:hAnsi="仿宋" w:eastAsia="仿宋" w:cs="仿宋"/>
          <w:bCs/>
          <w:sz w:val="28"/>
          <w:szCs w:val="28"/>
        </w:rPr>
        <w:t>（以下无正文）。</w:t>
      </w:r>
    </w:p>
    <w:p w14:paraId="66B4D6F1">
      <w:pPr>
        <w:spacing w:line="620" w:lineRule="exact"/>
        <w:jc w:val="left"/>
        <w:rPr>
          <w:rFonts w:hint="eastAsia" w:ascii="黑体" w:hAnsi="黑体" w:eastAsia="黑体" w:cs="仿宋"/>
          <w:bCs/>
          <w:sz w:val="30"/>
          <w:szCs w:val="30"/>
        </w:rPr>
      </w:pPr>
      <w:r>
        <w:rPr>
          <w:rFonts w:hint="eastAsia" w:ascii="黑体" w:hAnsi="黑体" w:eastAsia="黑体" w:cs="仿宋"/>
          <w:bCs/>
          <w:sz w:val="30"/>
          <w:szCs w:val="30"/>
        </w:rPr>
        <w:t>签署页</w:t>
      </w:r>
    </w:p>
    <w:tbl>
      <w:tblPr>
        <w:tblStyle w:val="4"/>
        <w:tblW w:w="0" w:type="auto"/>
        <w:tblInd w:w="0" w:type="dxa"/>
        <w:tblLayout w:type="fixed"/>
        <w:tblCellMar>
          <w:top w:w="0" w:type="dxa"/>
          <w:left w:w="108" w:type="dxa"/>
          <w:bottom w:w="0" w:type="dxa"/>
          <w:right w:w="108" w:type="dxa"/>
        </w:tblCellMar>
      </w:tblPr>
      <w:tblGrid>
        <w:gridCol w:w="4636"/>
        <w:gridCol w:w="4636"/>
      </w:tblGrid>
      <w:tr w14:paraId="47829A8B">
        <w:tblPrEx>
          <w:tblCellMar>
            <w:top w:w="0" w:type="dxa"/>
            <w:left w:w="108" w:type="dxa"/>
            <w:bottom w:w="0" w:type="dxa"/>
            <w:right w:w="108" w:type="dxa"/>
          </w:tblCellMar>
        </w:tblPrEx>
        <w:trPr>
          <w:trHeight w:val="2332" w:hRule="atLeast"/>
        </w:trPr>
        <w:tc>
          <w:tcPr>
            <w:tcW w:w="4636" w:type="dxa"/>
            <w:noWrap w:val="0"/>
            <w:vAlign w:val="top"/>
          </w:tcPr>
          <w:p w14:paraId="7E6CCACC">
            <w:pPr>
              <w:spacing w:line="630" w:lineRule="exact"/>
              <w:rPr>
                <w:rFonts w:eastAsia="仿宋_GB2312"/>
                <w:bCs/>
                <w:sz w:val="28"/>
                <w:szCs w:val="28"/>
              </w:rPr>
            </w:pPr>
            <w:r>
              <w:rPr>
                <w:rFonts w:eastAsia="仿宋_GB2312"/>
                <w:bCs/>
                <w:sz w:val="28"/>
                <w:szCs w:val="28"/>
              </w:rPr>
              <w:t>甲方：</w:t>
            </w:r>
            <w:r>
              <w:rPr>
                <w:rFonts w:hint="eastAsia" w:eastAsia="仿宋_GB2312"/>
                <w:bCs/>
                <w:sz w:val="28"/>
                <w:szCs w:val="28"/>
              </w:rPr>
              <w:t>铜川市耀州区农业农村局</w:t>
            </w:r>
          </w:p>
          <w:p w14:paraId="4CD63E32">
            <w:pPr>
              <w:spacing w:line="630" w:lineRule="exact"/>
              <w:rPr>
                <w:rFonts w:eastAsia="仿宋_GB2312"/>
                <w:bCs/>
                <w:sz w:val="28"/>
                <w:szCs w:val="28"/>
              </w:rPr>
            </w:pPr>
          </w:p>
          <w:p w14:paraId="6033CF92">
            <w:pPr>
              <w:spacing w:line="630" w:lineRule="exact"/>
              <w:jc w:val="center"/>
              <w:rPr>
                <w:rFonts w:eastAsia="仿宋_GB2312"/>
                <w:bCs/>
                <w:sz w:val="28"/>
                <w:szCs w:val="28"/>
              </w:rPr>
            </w:pPr>
            <w:r>
              <w:rPr>
                <w:rFonts w:eastAsia="仿宋_GB2312"/>
                <w:bCs/>
                <w:sz w:val="28"/>
                <w:szCs w:val="28"/>
              </w:rPr>
              <w:t>（盖  章）</w:t>
            </w:r>
          </w:p>
        </w:tc>
        <w:tc>
          <w:tcPr>
            <w:tcW w:w="4636" w:type="dxa"/>
            <w:noWrap w:val="0"/>
            <w:vAlign w:val="top"/>
          </w:tcPr>
          <w:p w14:paraId="65E47612">
            <w:pPr>
              <w:spacing w:line="630" w:lineRule="exact"/>
              <w:rPr>
                <w:rFonts w:eastAsia="仿宋_GB2312"/>
                <w:bCs/>
                <w:spacing w:val="2"/>
                <w:sz w:val="28"/>
                <w:szCs w:val="28"/>
              </w:rPr>
            </w:pPr>
            <w:r>
              <w:rPr>
                <w:rFonts w:eastAsia="仿宋_GB2312"/>
                <w:bCs/>
                <w:sz w:val="28"/>
                <w:szCs w:val="28"/>
              </w:rPr>
              <w:t>乙方：</w:t>
            </w:r>
          </w:p>
          <w:p w14:paraId="1524C9AF">
            <w:pPr>
              <w:spacing w:line="630" w:lineRule="exact"/>
              <w:rPr>
                <w:rFonts w:eastAsia="仿宋_GB2312"/>
                <w:bCs/>
                <w:sz w:val="28"/>
                <w:szCs w:val="28"/>
              </w:rPr>
            </w:pPr>
          </w:p>
          <w:p w14:paraId="221FC38B">
            <w:pPr>
              <w:spacing w:line="630" w:lineRule="exact"/>
              <w:jc w:val="center"/>
              <w:rPr>
                <w:rFonts w:eastAsia="仿宋_GB2312"/>
                <w:bCs/>
                <w:sz w:val="28"/>
                <w:szCs w:val="28"/>
              </w:rPr>
            </w:pPr>
            <w:r>
              <w:rPr>
                <w:rFonts w:eastAsia="仿宋_GB2312"/>
                <w:bCs/>
                <w:sz w:val="28"/>
                <w:szCs w:val="28"/>
              </w:rPr>
              <w:t>（盖  章）</w:t>
            </w:r>
          </w:p>
        </w:tc>
      </w:tr>
      <w:tr w14:paraId="5F53A22C">
        <w:tblPrEx>
          <w:tblCellMar>
            <w:top w:w="0" w:type="dxa"/>
            <w:left w:w="108" w:type="dxa"/>
            <w:bottom w:w="0" w:type="dxa"/>
            <w:right w:w="108" w:type="dxa"/>
          </w:tblCellMar>
        </w:tblPrEx>
        <w:trPr>
          <w:trHeight w:val="851" w:hRule="atLeast"/>
        </w:trPr>
        <w:tc>
          <w:tcPr>
            <w:tcW w:w="4636" w:type="dxa"/>
            <w:noWrap w:val="0"/>
            <w:vAlign w:val="top"/>
          </w:tcPr>
          <w:p w14:paraId="549D41D5">
            <w:pPr>
              <w:spacing w:line="520" w:lineRule="exact"/>
              <w:rPr>
                <w:rFonts w:eastAsia="仿宋_GB2312"/>
                <w:bCs/>
                <w:sz w:val="28"/>
                <w:szCs w:val="28"/>
              </w:rPr>
            </w:pPr>
            <w:r>
              <w:rPr>
                <w:rFonts w:eastAsia="仿宋_GB2312"/>
                <w:bCs/>
                <w:sz w:val="28"/>
                <w:szCs w:val="28"/>
              </w:rPr>
              <w:t>法定代表人：</w:t>
            </w:r>
            <w:r>
              <w:rPr>
                <w:rFonts w:eastAsia="仿宋_GB2312"/>
                <w:bCs/>
                <w:sz w:val="28"/>
                <w:szCs w:val="28"/>
                <w:u w:val="single"/>
              </w:rPr>
              <w:t xml:space="preserve">        </w:t>
            </w:r>
            <w:r>
              <w:rPr>
                <w:rFonts w:eastAsia="仿宋_GB2312"/>
                <w:bCs/>
                <w:sz w:val="28"/>
                <w:szCs w:val="28"/>
              </w:rPr>
              <w:t>（签字）</w:t>
            </w:r>
          </w:p>
        </w:tc>
        <w:tc>
          <w:tcPr>
            <w:tcW w:w="4636" w:type="dxa"/>
            <w:noWrap w:val="0"/>
            <w:vAlign w:val="top"/>
          </w:tcPr>
          <w:p w14:paraId="1E1D9FCD">
            <w:pPr>
              <w:spacing w:line="520" w:lineRule="exact"/>
              <w:rPr>
                <w:rFonts w:eastAsia="仿宋_GB2312"/>
                <w:bCs/>
                <w:sz w:val="28"/>
                <w:szCs w:val="28"/>
              </w:rPr>
            </w:pPr>
            <w:r>
              <w:rPr>
                <w:rFonts w:eastAsia="仿宋_GB2312"/>
                <w:bCs/>
                <w:sz w:val="28"/>
                <w:szCs w:val="28"/>
              </w:rPr>
              <w:t>法定代表人：</w:t>
            </w:r>
            <w:r>
              <w:rPr>
                <w:rFonts w:eastAsia="仿宋_GB2312"/>
                <w:bCs/>
                <w:sz w:val="28"/>
                <w:szCs w:val="28"/>
                <w:u w:val="single"/>
              </w:rPr>
              <w:t xml:space="preserve">        </w:t>
            </w:r>
            <w:r>
              <w:rPr>
                <w:rFonts w:eastAsia="仿宋_GB2312"/>
                <w:bCs/>
                <w:sz w:val="28"/>
                <w:szCs w:val="28"/>
              </w:rPr>
              <w:t>（签字）</w:t>
            </w:r>
          </w:p>
        </w:tc>
      </w:tr>
      <w:tr w14:paraId="4E926401">
        <w:tblPrEx>
          <w:tblCellMar>
            <w:top w:w="0" w:type="dxa"/>
            <w:left w:w="108" w:type="dxa"/>
            <w:bottom w:w="0" w:type="dxa"/>
            <w:right w:w="108" w:type="dxa"/>
          </w:tblCellMar>
        </w:tblPrEx>
        <w:trPr>
          <w:trHeight w:val="851" w:hRule="atLeast"/>
        </w:trPr>
        <w:tc>
          <w:tcPr>
            <w:tcW w:w="4636" w:type="dxa"/>
            <w:noWrap w:val="0"/>
            <w:vAlign w:val="top"/>
          </w:tcPr>
          <w:p w14:paraId="5C0082F0">
            <w:pPr>
              <w:spacing w:line="520" w:lineRule="exact"/>
              <w:rPr>
                <w:rFonts w:eastAsia="仿宋_GB2312"/>
                <w:bCs/>
                <w:sz w:val="28"/>
                <w:szCs w:val="28"/>
              </w:rPr>
            </w:pPr>
            <w:r>
              <w:rPr>
                <w:rFonts w:eastAsia="仿宋_GB2312"/>
                <w:bCs/>
                <w:sz w:val="28"/>
                <w:szCs w:val="28"/>
              </w:rPr>
              <w:t>委托代理人：</w:t>
            </w:r>
            <w:r>
              <w:rPr>
                <w:rFonts w:eastAsia="仿宋_GB2312"/>
                <w:bCs/>
                <w:sz w:val="28"/>
                <w:szCs w:val="28"/>
                <w:u w:val="single"/>
              </w:rPr>
              <w:t xml:space="preserve">        </w:t>
            </w:r>
            <w:r>
              <w:rPr>
                <w:rFonts w:eastAsia="仿宋_GB2312"/>
                <w:bCs/>
                <w:sz w:val="28"/>
                <w:szCs w:val="28"/>
              </w:rPr>
              <w:t>（签字）</w:t>
            </w:r>
          </w:p>
        </w:tc>
        <w:tc>
          <w:tcPr>
            <w:tcW w:w="4636" w:type="dxa"/>
            <w:noWrap w:val="0"/>
            <w:vAlign w:val="top"/>
          </w:tcPr>
          <w:p w14:paraId="672CAFCF">
            <w:pPr>
              <w:spacing w:line="520" w:lineRule="exact"/>
              <w:rPr>
                <w:rFonts w:eastAsia="仿宋_GB2312"/>
                <w:bCs/>
                <w:sz w:val="28"/>
                <w:szCs w:val="28"/>
              </w:rPr>
            </w:pPr>
            <w:r>
              <w:rPr>
                <w:rFonts w:eastAsia="仿宋_GB2312"/>
                <w:bCs/>
                <w:sz w:val="28"/>
                <w:szCs w:val="28"/>
              </w:rPr>
              <w:t>委托代理人：</w:t>
            </w:r>
            <w:r>
              <w:rPr>
                <w:rFonts w:eastAsia="仿宋_GB2312"/>
                <w:bCs/>
                <w:sz w:val="28"/>
                <w:szCs w:val="28"/>
                <w:u w:val="single"/>
              </w:rPr>
              <w:t xml:space="preserve">        </w:t>
            </w:r>
            <w:r>
              <w:rPr>
                <w:rFonts w:eastAsia="仿宋_GB2312"/>
                <w:bCs/>
                <w:sz w:val="28"/>
                <w:szCs w:val="28"/>
              </w:rPr>
              <w:t>（签字）</w:t>
            </w:r>
          </w:p>
        </w:tc>
      </w:tr>
      <w:tr w14:paraId="776E840B">
        <w:tblPrEx>
          <w:tblCellMar>
            <w:top w:w="0" w:type="dxa"/>
            <w:left w:w="108" w:type="dxa"/>
            <w:bottom w:w="0" w:type="dxa"/>
            <w:right w:w="108" w:type="dxa"/>
          </w:tblCellMar>
        </w:tblPrEx>
        <w:trPr>
          <w:trHeight w:val="851" w:hRule="atLeast"/>
        </w:trPr>
        <w:tc>
          <w:tcPr>
            <w:tcW w:w="4636" w:type="dxa"/>
            <w:noWrap w:val="0"/>
            <w:vAlign w:val="top"/>
          </w:tcPr>
          <w:p w14:paraId="2A656DEF">
            <w:pPr>
              <w:spacing w:line="520" w:lineRule="exact"/>
              <w:rPr>
                <w:rFonts w:eastAsia="仿宋_GB2312"/>
                <w:bCs/>
                <w:sz w:val="28"/>
                <w:szCs w:val="28"/>
              </w:rPr>
            </w:pPr>
            <w:r>
              <w:rPr>
                <w:rFonts w:eastAsia="仿宋_GB2312"/>
                <w:bCs/>
                <w:sz w:val="28"/>
                <w:szCs w:val="28"/>
              </w:rPr>
              <w:t>地    址：</w:t>
            </w:r>
          </w:p>
        </w:tc>
        <w:tc>
          <w:tcPr>
            <w:tcW w:w="4636" w:type="dxa"/>
            <w:noWrap w:val="0"/>
            <w:vAlign w:val="top"/>
          </w:tcPr>
          <w:p w14:paraId="04EAB09D">
            <w:pPr>
              <w:spacing w:line="520" w:lineRule="exact"/>
              <w:rPr>
                <w:rFonts w:eastAsia="仿宋_GB2312"/>
                <w:bCs/>
                <w:sz w:val="28"/>
                <w:szCs w:val="28"/>
              </w:rPr>
            </w:pPr>
            <w:r>
              <w:rPr>
                <w:rFonts w:eastAsia="仿宋_GB2312"/>
                <w:bCs/>
                <w:sz w:val="28"/>
                <w:szCs w:val="28"/>
              </w:rPr>
              <w:t>地    址：</w:t>
            </w:r>
          </w:p>
        </w:tc>
      </w:tr>
      <w:tr w14:paraId="533161C6">
        <w:tblPrEx>
          <w:tblCellMar>
            <w:top w:w="0" w:type="dxa"/>
            <w:left w:w="108" w:type="dxa"/>
            <w:bottom w:w="0" w:type="dxa"/>
            <w:right w:w="108" w:type="dxa"/>
          </w:tblCellMar>
        </w:tblPrEx>
        <w:trPr>
          <w:trHeight w:val="851" w:hRule="atLeast"/>
        </w:trPr>
        <w:tc>
          <w:tcPr>
            <w:tcW w:w="4636" w:type="dxa"/>
            <w:noWrap w:val="0"/>
            <w:vAlign w:val="center"/>
          </w:tcPr>
          <w:p w14:paraId="6D96D0F0">
            <w:pPr>
              <w:spacing w:line="520" w:lineRule="exact"/>
              <w:rPr>
                <w:rFonts w:eastAsia="仿宋_GB2312"/>
                <w:bCs/>
                <w:sz w:val="28"/>
                <w:szCs w:val="28"/>
              </w:rPr>
            </w:pPr>
            <w:r>
              <w:rPr>
                <w:rFonts w:eastAsia="仿宋_GB2312"/>
                <w:bCs/>
                <w:sz w:val="28"/>
                <w:szCs w:val="28"/>
              </w:rPr>
              <w:t>邮政编码：</w:t>
            </w:r>
          </w:p>
        </w:tc>
        <w:tc>
          <w:tcPr>
            <w:tcW w:w="4636" w:type="dxa"/>
            <w:noWrap w:val="0"/>
            <w:vAlign w:val="center"/>
          </w:tcPr>
          <w:p w14:paraId="7B2BD947">
            <w:pPr>
              <w:spacing w:line="520" w:lineRule="exact"/>
              <w:rPr>
                <w:rFonts w:eastAsia="仿宋_GB2312"/>
                <w:bCs/>
                <w:sz w:val="28"/>
                <w:szCs w:val="28"/>
              </w:rPr>
            </w:pPr>
            <w:r>
              <w:rPr>
                <w:rFonts w:eastAsia="仿宋_GB2312"/>
                <w:bCs/>
                <w:sz w:val="28"/>
                <w:szCs w:val="28"/>
              </w:rPr>
              <w:t>邮政编码：</w:t>
            </w:r>
          </w:p>
        </w:tc>
      </w:tr>
      <w:tr w14:paraId="765225CA">
        <w:tblPrEx>
          <w:tblCellMar>
            <w:top w:w="0" w:type="dxa"/>
            <w:left w:w="108" w:type="dxa"/>
            <w:bottom w:w="0" w:type="dxa"/>
            <w:right w:w="108" w:type="dxa"/>
          </w:tblCellMar>
        </w:tblPrEx>
        <w:trPr>
          <w:trHeight w:val="851" w:hRule="atLeast"/>
        </w:trPr>
        <w:tc>
          <w:tcPr>
            <w:tcW w:w="4636" w:type="dxa"/>
            <w:noWrap w:val="0"/>
            <w:vAlign w:val="center"/>
          </w:tcPr>
          <w:p w14:paraId="22881183">
            <w:pPr>
              <w:spacing w:line="520" w:lineRule="exact"/>
              <w:rPr>
                <w:rFonts w:eastAsia="仿宋_GB2312"/>
                <w:bCs/>
                <w:sz w:val="28"/>
                <w:szCs w:val="28"/>
              </w:rPr>
            </w:pPr>
            <w:r>
              <w:rPr>
                <w:rFonts w:eastAsia="仿宋_GB2312"/>
                <w:bCs/>
                <w:sz w:val="28"/>
                <w:szCs w:val="28"/>
              </w:rPr>
              <w:t>电    话：</w:t>
            </w:r>
          </w:p>
        </w:tc>
        <w:tc>
          <w:tcPr>
            <w:tcW w:w="4636" w:type="dxa"/>
            <w:noWrap w:val="0"/>
            <w:vAlign w:val="center"/>
          </w:tcPr>
          <w:p w14:paraId="204D245C">
            <w:pPr>
              <w:spacing w:line="520" w:lineRule="exact"/>
              <w:rPr>
                <w:rFonts w:eastAsia="仿宋_GB2312"/>
                <w:bCs/>
                <w:sz w:val="28"/>
                <w:szCs w:val="28"/>
              </w:rPr>
            </w:pPr>
            <w:r>
              <w:rPr>
                <w:rFonts w:eastAsia="仿宋_GB2312"/>
                <w:bCs/>
                <w:sz w:val="28"/>
                <w:szCs w:val="28"/>
              </w:rPr>
              <w:t>电    话：</w:t>
            </w:r>
          </w:p>
        </w:tc>
      </w:tr>
      <w:tr w14:paraId="5FCB2FA8">
        <w:tblPrEx>
          <w:tblCellMar>
            <w:top w:w="0" w:type="dxa"/>
            <w:left w:w="108" w:type="dxa"/>
            <w:bottom w:w="0" w:type="dxa"/>
            <w:right w:w="108" w:type="dxa"/>
          </w:tblCellMar>
        </w:tblPrEx>
        <w:trPr>
          <w:trHeight w:val="851" w:hRule="atLeast"/>
        </w:trPr>
        <w:tc>
          <w:tcPr>
            <w:tcW w:w="4636" w:type="dxa"/>
            <w:noWrap w:val="0"/>
            <w:vAlign w:val="top"/>
          </w:tcPr>
          <w:p w14:paraId="4E255309">
            <w:pPr>
              <w:spacing w:line="520" w:lineRule="exact"/>
              <w:rPr>
                <w:rFonts w:eastAsia="仿宋_GB2312"/>
                <w:bCs/>
                <w:sz w:val="28"/>
                <w:szCs w:val="28"/>
              </w:rPr>
            </w:pPr>
            <w:r>
              <w:rPr>
                <w:rFonts w:eastAsia="仿宋_GB2312"/>
                <w:bCs/>
                <w:sz w:val="28"/>
                <w:szCs w:val="28"/>
              </w:rPr>
              <w:t>开户银行：</w:t>
            </w:r>
          </w:p>
        </w:tc>
        <w:tc>
          <w:tcPr>
            <w:tcW w:w="4636" w:type="dxa"/>
            <w:noWrap w:val="0"/>
            <w:vAlign w:val="top"/>
          </w:tcPr>
          <w:p w14:paraId="0CBBFA86">
            <w:pPr>
              <w:spacing w:line="520" w:lineRule="exact"/>
              <w:rPr>
                <w:rFonts w:eastAsia="仿宋_GB2312"/>
                <w:bCs/>
                <w:sz w:val="28"/>
                <w:szCs w:val="28"/>
              </w:rPr>
            </w:pPr>
            <w:r>
              <w:rPr>
                <w:rFonts w:eastAsia="仿宋_GB2312"/>
                <w:bCs/>
                <w:sz w:val="28"/>
                <w:szCs w:val="28"/>
              </w:rPr>
              <w:t>开户银行：</w:t>
            </w:r>
          </w:p>
        </w:tc>
      </w:tr>
      <w:tr w14:paraId="13396D6C">
        <w:tblPrEx>
          <w:tblCellMar>
            <w:top w:w="0" w:type="dxa"/>
            <w:left w:w="108" w:type="dxa"/>
            <w:bottom w:w="0" w:type="dxa"/>
            <w:right w:w="108" w:type="dxa"/>
          </w:tblCellMar>
        </w:tblPrEx>
        <w:trPr>
          <w:trHeight w:val="851" w:hRule="atLeast"/>
        </w:trPr>
        <w:tc>
          <w:tcPr>
            <w:tcW w:w="4636" w:type="dxa"/>
            <w:noWrap w:val="0"/>
            <w:vAlign w:val="top"/>
          </w:tcPr>
          <w:p w14:paraId="45551796">
            <w:pPr>
              <w:spacing w:line="520" w:lineRule="exact"/>
              <w:rPr>
                <w:rFonts w:eastAsia="仿宋_GB2312"/>
                <w:bCs/>
                <w:sz w:val="28"/>
                <w:szCs w:val="28"/>
              </w:rPr>
            </w:pPr>
            <w:r>
              <w:rPr>
                <w:rFonts w:eastAsia="仿宋_GB2312"/>
                <w:bCs/>
                <w:sz w:val="28"/>
                <w:szCs w:val="28"/>
              </w:rPr>
              <w:t>开户名称：</w:t>
            </w:r>
          </w:p>
        </w:tc>
        <w:tc>
          <w:tcPr>
            <w:tcW w:w="4636" w:type="dxa"/>
            <w:noWrap w:val="0"/>
            <w:vAlign w:val="top"/>
          </w:tcPr>
          <w:p w14:paraId="18E2480E">
            <w:pPr>
              <w:spacing w:line="520" w:lineRule="exact"/>
              <w:rPr>
                <w:rFonts w:eastAsia="仿宋_GB2312"/>
                <w:bCs/>
                <w:sz w:val="28"/>
                <w:szCs w:val="28"/>
              </w:rPr>
            </w:pPr>
            <w:r>
              <w:rPr>
                <w:rFonts w:eastAsia="仿宋_GB2312"/>
                <w:bCs/>
                <w:sz w:val="28"/>
                <w:szCs w:val="28"/>
              </w:rPr>
              <w:t>开户名称：</w:t>
            </w:r>
          </w:p>
        </w:tc>
      </w:tr>
      <w:tr w14:paraId="40C3B4FC">
        <w:tblPrEx>
          <w:tblCellMar>
            <w:top w:w="0" w:type="dxa"/>
            <w:left w:w="108" w:type="dxa"/>
            <w:bottom w:w="0" w:type="dxa"/>
            <w:right w:w="108" w:type="dxa"/>
          </w:tblCellMar>
        </w:tblPrEx>
        <w:trPr>
          <w:trHeight w:val="851" w:hRule="atLeast"/>
        </w:trPr>
        <w:tc>
          <w:tcPr>
            <w:tcW w:w="4636" w:type="dxa"/>
            <w:noWrap w:val="0"/>
            <w:vAlign w:val="center"/>
          </w:tcPr>
          <w:p w14:paraId="14FE18EA">
            <w:pPr>
              <w:spacing w:line="520" w:lineRule="exact"/>
              <w:rPr>
                <w:rFonts w:eastAsia="仿宋_GB2312"/>
                <w:bCs/>
                <w:sz w:val="28"/>
                <w:szCs w:val="28"/>
              </w:rPr>
            </w:pPr>
            <w:r>
              <w:rPr>
                <w:rFonts w:eastAsia="仿宋_GB2312"/>
                <w:bCs/>
                <w:sz w:val="28"/>
                <w:szCs w:val="28"/>
              </w:rPr>
              <w:t>银行</w:t>
            </w:r>
            <w:r>
              <w:rPr>
                <w:rFonts w:hint="eastAsia" w:eastAsia="仿宋_GB2312"/>
                <w:bCs/>
                <w:sz w:val="28"/>
                <w:szCs w:val="28"/>
                <w:lang w:val="en-US" w:eastAsia="zh-CN"/>
              </w:rPr>
              <w:t>账</w:t>
            </w:r>
            <w:r>
              <w:rPr>
                <w:rFonts w:eastAsia="仿宋_GB2312"/>
                <w:bCs/>
                <w:sz w:val="28"/>
                <w:szCs w:val="28"/>
              </w:rPr>
              <w:t>号：</w:t>
            </w:r>
          </w:p>
        </w:tc>
        <w:tc>
          <w:tcPr>
            <w:tcW w:w="4636" w:type="dxa"/>
            <w:noWrap w:val="0"/>
            <w:vAlign w:val="center"/>
          </w:tcPr>
          <w:p w14:paraId="3B48B373">
            <w:pPr>
              <w:spacing w:line="520" w:lineRule="exact"/>
              <w:rPr>
                <w:rFonts w:eastAsia="仿宋_GB2312"/>
                <w:bCs/>
                <w:sz w:val="28"/>
                <w:szCs w:val="28"/>
              </w:rPr>
            </w:pPr>
            <w:r>
              <w:rPr>
                <w:rFonts w:eastAsia="仿宋_GB2312"/>
                <w:bCs/>
                <w:sz w:val="28"/>
                <w:szCs w:val="28"/>
              </w:rPr>
              <w:t>银行</w:t>
            </w:r>
            <w:r>
              <w:rPr>
                <w:rFonts w:hint="eastAsia" w:eastAsia="仿宋_GB2312"/>
                <w:bCs/>
                <w:sz w:val="28"/>
                <w:szCs w:val="28"/>
                <w:lang w:val="en-US" w:eastAsia="zh-CN"/>
              </w:rPr>
              <w:t>账</w:t>
            </w:r>
            <w:r>
              <w:rPr>
                <w:rFonts w:eastAsia="仿宋_GB2312"/>
                <w:bCs/>
                <w:sz w:val="28"/>
                <w:szCs w:val="28"/>
              </w:rPr>
              <w:t>号：</w:t>
            </w:r>
          </w:p>
        </w:tc>
      </w:tr>
      <w:tr w14:paraId="431A7586">
        <w:tblPrEx>
          <w:tblCellMar>
            <w:top w:w="0" w:type="dxa"/>
            <w:left w:w="108" w:type="dxa"/>
            <w:bottom w:w="0" w:type="dxa"/>
            <w:right w:w="108" w:type="dxa"/>
          </w:tblCellMar>
        </w:tblPrEx>
        <w:trPr>
          <w:trHeight w:val="851" w:hRule="atLeast"/>
        </w:trPr>
        <w:tc>
          <w:tcPr>
            <w:tcW w:w="4636" w:type="dxa"/>
            <w:noWrap w:val="0"/>
            <w:vAlign w:val="center"/>
          </w:tcPr>
          <w:p w14:paraId="6434B95A">
            <w:pPr>
              <w:spacing w:line="520" w:lineRule="exact"/>
              <w:rPr>
                <w:rFonts w:eastAsia="仿宋_GB2312"/>
                <w:bCs/>
                <w:sz w:val="28"/>
                <w:szCs w:val="28"/>
              </w:rPr>
            </w:pPr>
            <w:r>
              <w:rPr>
                <w:rFonts w:eastAsia="仿宋_GB2312"/>
                <w:bCs/>
                <w:sz w:val="28"/>
                <w:szCs w:val="28"/>
              </w:rPr>
              <w:t>签约地点：</w:t>
            </w:r>
          </w:p>
        </w:tc>
        <w:tc>
          <w:tcPr>
            <w:tcW w:w="4636" w:type="dxa"/>
            <w:noWrap w:val="0"/>
            <w:vAlign w:val="center"/>
          </w:tcPr>
          <w:p w14:paraId="1C4334B1">
            <w:pPr>
              <w:spacing w:line="520" w:lineRule="exact"/>
              <w:rPr>
                <w:rFonts w:eastAsia="仿宋_GB2312"/>
                <w:bCs/>
                <w:sz w:val="28"/>
                <w:szCs w:val="28"/>
              </w:rPr>
            </w:pPr>
            <w:r>
              <w:rPr>
                <w:rFonts w:eastAsia="仿宋_GB2312"/>
                <w:bCs/>
                <w:sz w:val="28"/>
                <w:szCs w:val="28"/>
              </w:rPr>
              <w:t xml:space="preserve">签约地点： </w:t>
            </w:r>
          </w:p>
        </w:tc>
      </w:tr>
    </w:tbl>
    <w:p w14:paraId="71B6EA90">
      <w:pPr>
        <w:spacing w:line="620" w:lineRule="exact"/>
        <w:ind w:firstLine="560" w:firstLineChars="200"/>
        <w:rPr>
          <w:rFonts w:hint="eastAsia" w:ascii="仿宋" w:hAnsi="仿宋" w:eastAsia="仿宋" w:cs="仿宋"/>
          <w:bCs/>
          <w:sz w:val="28"/>
          <w:szCs w:val="28"/>
        </w:rPr>
      </w:pPr>
    </w:p>
    <w:p w14:paraId="23630C6F">
      <w:pPr>
        <w:spacing w:line="620" w:lineRule="exact"/>
        <w:ind w:firstLine="600" w:firstLineChars="200"/>
        <w:rPr>
          <w:rFonts w:hint="eastAsia" w:ascii="仿宋" w:hAnsi="仿宋" w:eastAsia="仿宋" w:cs="仿宋"/>
          <w:bCs/>
          <w:sz w:val="30"/>
          <w:szCs w:val="30"/>
        </w:rPr>
      </w:pPr>
    </w:p>
    <w:p w14:paraId="14123A84">
      <w:pPr>
        <w:spacing w:line="600" w:lineRule="exact"/>
        <w:rPr>
          <w:rFonts w:eastAsia="仿宋_GB2312"/>
          <w:sz w:val="28"/>
          <w:szCs w:val="28"/>
        </w:rPr>
      </w:pPr>
    </w:p>
    <w:p w14:paraId="542E7817"/>
    <w:sectPr>
      <w:footerReference r:id="rId5" w:type="default"/>
      <w:pgSz w:w="11906" w:h="16838"/>
      <w:pgMar w:top="1701" w:right="1418" w:bottom="170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3E53A7">
    <w:pPr>
      <w:pStyle w:val="3"/>
      <w:jc w:val="center"/>
    </w:pPr>
  </w:p>
  <w:p w14:paraId="298006E4">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E6073">
    <w:pPr>
      <w:pStyle w:val="3"/>
      <w:jc w:val="center"/>
    </w:pPr>
    <w:r>
      <w:fldChar w:fldCharType="begin"/>
    </w:r>
    <w:r>
      <w:instrText xml:space="preserve"> PAGE   \* MERGEFORMAT </w:instrText>
    </w:r>
    <w:r>
      <w:fldChar w:fldCharType="separate"/>
    </w:r>
    <w:r>
      <w:rPr>
        <w:lang w:val="zh-CN"/>
      </w:rPr>
      <w:t>3</w:t>
    </w:r>
    <w:r>
      <w:fldChar w:fldCharType="end"/>
    </w:r>
  </w:p>
  <w:p w14:paraId="3EFCA1FB">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63B7C7">
    <w:pPr>
      <w:pStyle w:val="3"/>
      <w:jc w:val="center"/>
    </w:pPr>
    <w:r>
      <w:fldChar w:fldCharType="begin"/>
    </w:r>
    <w:r>
      <w:instrText xml:space="preserve"> PAGE   \* MERGEFORMAT </w:instrText>
    </w:r>
    <w:r>
      <w:fldChar w:fldCharType="separate"/>
    </w:r>
    <w:r>
      <w:rPr>
        <w:lang w:val="zh-CN"/>
      </w:rPr>
      <w:t>5</w:t>
    </w:r>
    <w:r>
      <w:fldChar w:fldCharType="end"/>
    </w:r>
  </w:p>
  <w:p w14:paraId="680085C7">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34B18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sz w:val="28"/>
    </w:rPr>
  </w:style>
  <w:style w:type="paragraph" w:styleId="3">
    <w:name w:val="footer"/>
    <w:basedOn w:val="1"/>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2025-10-09T02:56:10Z</dcterms:created>
  <dc:creator>lala</dc:creator>
  <cp:lastModifiedBy>璇</cp:lastModifiedBy>
  <dcterms:modified xsi:type="dcterms:W3CDTF">2025-10-09T02:56:47Z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eyJoZGlkIjoiYTQzODc3YjNjYzZiY2FiMjcxZDJmMDNhZTE4NDRiODkiLCJ1c2VySWQiOiIzMDE4NTkzMjkifQ==</vt:lpwstr>
  </property>
  <property fmtid="{D5CDD505-2E9C-101B-9397-08002B2CF9AE}" pid="4" name="ICV">
    <vt:lpwstr>F1DF1388A1F844CA86F85EC1F3B6464F_12</vt:lpwstr>
  </property>
</Properties>
</file>