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版本号：ZC2026-FW-01220260115001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铜川市耀州区农村集中式饮用水水源地保护区划定及调整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ZC2026-FW-012</w:t>
      </w:r>
      <w:r>
        <w:br/>
      </w:r>
      <w:r>
        <w:br/>
      </w:r>
      <w:r>
        <w:br/>
      </w:r>
    </w:p>
    <w:p>
      <w:pPr>
        <w:pStyle w:val="null3"/>
        <w:jc w:val="center"/>
        <w:outlineLvl w:val="2"/>
      </w:pPr>
      <w:r>
        <w:rPr>
          <w:rFonts w:ascii="仿宋_GB2312" w:hAnsi="仿宋_GB2312" w:cs="仿宋_GB2312" w:eastAsia="仿宋_GB2312"/>
          <w:sz w:val="28"/>
          <w:b/>
        </w:rPr>
        <w:t>铜川市生态环境局耀州分局</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铜川市生态环境局耀州分局</w:t>
      </w:r>
      <w:r>
        <w:rPr>
          <w:rFonts w:ascii="仿宋_GB2312" w:hAnsi="仿宋_GB2312" w:cs="仿宋_GB2312" w:eastAsia="仿宋_GB2312"/>
        </w:rPr>
        <w:t>委托，拟对</w:t>
      </w:r>
      <w:r>
        <w:rPr>
          <w:rFonts w:ascii="仿宋_GB2312" w:hAnsi="仿宋_GB2312" w:cs="仿宋_GB2312" w:eastAsia="仿宋_GB2312"/>
        </w:rPr>
        <w:t>铜川市耀州区农村集中式饮用水水源地保护区划定及调整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ZC2026-FW-012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铜川市耀州区农村集中式饮用水水源地保护区划定及调整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中华人民共和国环境保护法》和《中华人民共和国水污染防治法》，规范饮用水水源地环境保护建设，提高饮用水水源地环境管理水平，确保水源水质安全，落实耀州区农村集中式饮用水水源地保护区划定及调整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采购包1（铜川市耀州区农村集中式饮用水水源地保护区划定及调整）：属于专门面向中小企业采购。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主体证明资料：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pPr>
        <w:pStyle w:val="null3"/>
      </w:pPr>
      <w:r>
        <w:rPr>
          <w:rFonts w:ascii="仿宋_GB2312" w:hAnsi="仿宋_GB2312" w:cs="仿宋_GB2312" w:eastAsia="仿宋_GB2312"/>
        </w:rPr>
        <w:t>2、供应商须提供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3、信用证明：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 注：以响应文件中加盖单位公章的基本资格条件承诺函为准。</w:t>
      </w:r>
    </w:p>
    <w:p>
      <w:pPr>
        <w:pStyle w:val="null3"/>
      </w:pPr>
      <w:r>
        <w:rPr>
          <w:rFonts w:ascii="仿宋_GB2312" w:hAnsi="仿宋_GB2312" w:cs="仿宋_GB2312" w:eastAsia="仿宋_GB2312"/>
        </w:rPr>
        <w:t>4、联合体磋商：本项目不接受联合体磋商。 注：以响应文件中提供的非联合体磋商的声明为准。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铜川市生态环境局耀州分局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陕西省铜川市耀州区药王路81号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15929366715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毛美莹、刘静静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029-88856058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员会办公厅颁发的《关于招标代理服务收费有关问题的通知》规定的服务类标准收取。由成交供应商在领取成交通知书之前一次性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铜川市生态环境局耀州分局</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铜川市生态环境局耀州分局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铜川市生态环境局耀州分局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联系人：毛美莹、刘静静</w:t>
      </w:r>
    </w:p>
    <w:p>
      <w:pPr>
        <w:pStyle w:val="null3"/>
      </w:pPr>
      <w:r>
        <w:rPr>
          <w:rFonts w:ascii="仿宋_GB2312" w:hAnsi="仿宋_GB2312" w:cs="仿宋_GB2312" w:eastAsia="仿宋_GB2312"/>
        </w:rPr>
        <w:t>联系电话：029-88856058</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中华人民共和国环境保护法》和《中华人民共和国水污染防治法》，规范饮用水水源地环境保护建设，提高饮用水水源地环境管理水平，确保水源水质安全，落实耀州区农村集中式饮用水水源地保护区划定及调整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570,000.00</w:t>
      </w:r>
    </w:p>
    <w:p>
      <w:pPr>
        <w:pStyle w:val="null3"/>
      </w:pPr>
      <w:r>
        <w:rPr>
          <w:rFonts w:ascii="仿宋_GB2312" w:hAnsi="仿宋_GB2312" w:cs="仿宋_GB2312" w:eastAsia="仿宋_GB2312"/>
        </w:rPr>
        <w:t>采购包最高限价（元）: 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农村集中式饮用水水源地保护区划定及调整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标的名称：农村集中式饮用水水源地保护区划定及调整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color w:val="0000FF"/>
              </w:rPr>
              <w:t>一、项目背景</w:t>
            </w:r>
          </w:p>
          <w:p>
            <w:pPr>
              <w:pStyle w:val="null3"/>
              <w:jc w:val="both"/>
            </w:pPr>
            <w:r>
              <w:rPr>
                <w:rFonts w:ascii="仿宋_GB2312" w:hAnsi="仿宋_GB2312" w:cs="仿宋_GB2312" w:eastAsia="仿宋_GB2312"/>
                <w:sz w:val="20"/>
                <w:color w:val="0000FF"/>
              </w:rPr>
              <w:t>为贯彻《中华人民共和国环境保护法》和《中华人民共和国水污染防治法》</w:t>
            </w:r>
            <w:r>
              <w:rPr>
                <w:rFonts w:ascii="仿宋_GB2312" w:hAnsi="仿宋_GB2312" w:cs="仿宋_GB2312" w:eastAsia="仿宋_GB2312"/>
                <w:sz w:val="20"/>
                <w:color w:val="0000FF"/>
              </w:rPr>
              <w:t>,规范饮用水水源地环境保护建设，提高饮用水水源地环境管理水平，确保水源水质安全，落实耀州区农村集中式饮用水水源地保护区划定及调整工作。</w:t>
            </w:r>
          </w:p>
          <w:p>
            <w:pPr>
              <w:pStyle w:val="null3"/>
              <w:jc w:val="both"/>
            </w:pPr>
            <w:r>
              <w:rPr>
                <w:rFonts w:ascii="仿宋_GB2312" w:hAnsi="仿宋_GB2312" w:cs="仿宋_GB2312" w:eastAsia="仿宋_GB2312"/>
                <w:sz w:val="20"/>
                <w:b/>
                <w:color w:val="0000FF"/>
              </w:rPr>
              <w:t>二、项目编制依据</w:t>
            </w:r>
          </w:p>
          <w:p>
            <w:pPr>
              <w:pStyle w:val="null3"/>
              <w:jc w:val="both"/>
            </w:pPr>
            <w:r>
              <w:rPr>
                <w:rFonts w:ascii="仿宋_GB2312" w:hAnsi="仿宋_GB2312" w:cs="仿宋_GB2312" w:eastAsia="仿宋_GB2312"/>
                <w:sz w:val="20"/>
                <w:color w:val="0000FF"/>
              </w:rPr>
              <w:t>1)《中华人民共和国环境保护法》(2015年1月1日施行);</w:t>
            </w:r>
          </w:p>
          <w:p>
            <w:pPr>
              <w:pStyle w:val="null3"/>
              <w:jc w:val="both"/>
            </w:pPr>
            <w:r>
              <w:rPr>
                <w:rFonts w:ascii="仿宋_GB2312" w:hAnsi="仿宋_GB2312" w:cs="仿宋_GB2312" w:eastAsia="仿宋_GB2312"/>
                <w:sz w:val="20"/>
                <w:color w:val="0000FF"/>
              </w:rPr>
              <w:t>2)《中华人民共和国水法》(2016年7月2日修订);</w:t>
            </w:r>
          </w:p>
          <w:p>
            <w:pPr>
              <w:pStyle w:val="null3"/>
              <w:jc w:val="both"/>
            </w:pPr>
            <w:r>
              <w:rPr>
                <w:rFonts w:ascii="仿宋_GB2312" w:hAnsi="仿宋_GB2312" w:cs="仿宋_GB2312" w:eastAsia="仿宋_GB2312"/>
                <w:sz w:val="20"/>
                <w:color w:val="0000FF"/>
              </w:rPr>
              <w:t>3)《中华人民共和国水污染防治法》(2017年6月27日修正);</w:t>
            </w:r>
          </w:p>
          <w:p>
            <w:pPr>
              <w:pStyle w:val="null3"/>
              <w:jc w:val="both"/>
            </w:pPr>
            <w:r>
              <w:rPr>
                <w:rFonts w:ascii="仿宋_GB2312" w:hAnsi="仿宋_GB2312" w:cs="仿宋_GB2312" w:eastAsia="仿宋_GB2312"/>
                <w:sz w:val="20"/>
                <w:color w:val="0000FF"/>
              </w:rPr>
              <w:t>4)《城市供水水质管理规定》(建设部令第156号，2007年5月1日实施);</w:t>
            </w:r>
          </w:p>
          <w:p>
            <w:pPr>
              <w:pStyle w:val="null3"/>
              <w:jc w:val="both"/>
            </w:pPr>
            <w:r>
              <w:rPr>
                <w:rFonts w:ascii="仿宋_GB2312" w:hAnsi="仿宋_GB2312" w:cs="仿宋_GB2312" w:eastAsia="仿宋_GB2312"/>
                <w:sz w:val="20"/>
                <w:color w:val="0000FF"/>
              </w:rPr>
              <w:t>5)《陕西省城乡供水用水条例》(2008年10月1日施行);</w:t>
            </w:r>
          </w:p>
          <w:p>
            <w:pPr>
              <w:pStyle w:val="null3"/>
              <w:jc w:val="both"/>
            </w:pPr>
            <w:r>
              <w:rPr>
                <w:rFonts w:ascii="仿宋_GB2312" w:hAnsi="仿宋_GB2312" w:cs="仿宋_GB2312" w:eastAsia="仿宋_GB2312"/>
                <w:sz w:val="20"/>
                <w:color w:val="0000FF"/>
              </w:rPr>
              <w:t>6)《陕西省饮用水水源保护条例》(2021年5月1日施行);</w:t>
            </w:r>
          </w:p>
          <w:p>
            <w:pPr>
              <w:pStyle w:val="null3"/>
              <w:jc w:val="both"/>
            </w:pPr>
            <w:r>
              <w:rPr>
                <w:rFonts w:ascii="仿宋_GB2312" w:hAnsi="仿宋_GB2312" w:cs="仿宋_GB2312" w:eastAsia="仿宋_GB2312"/>
                <w:sz w:val="20"/>
                <w:color w:val="0000FF"/>
              </w:rPr>
              <w:t>7)《陕西省人民政府关于委托开展农村集中式饮用水水源保护区相关事宜的通知》(陕政发〔2024〕7号)。</w:t>
            </w:r>
          </w:p>
          <w:p>
            <w:pPr>
              <w:pStyle w:val="null3"/>
              <w:jc w:val="both"/>
            </w:pPr>
            <w:r>
              <w:rPr>
                <w:rFonts w:ascii="仿宋_GB2312" w:hAnsi="仿宋_GB2312" w:cs="仿宋_GB2312" w:eastAsia="仿宋_GB2312"/>
                <w:sz w:val="20"/>
                <w:color w:val="0000FF"/>
              </w:rPr>
              <w:t>8)《饮用水水源保护区划分技术规范》(HJ338-2018);</w:t>
            </w:r>
          </w:p>
          <w:p>
            <w:pPr>
              <w:pStyle w:val="null3"/>
              <w:jc w:val="both"/>
            </w:pPr>
            <w:r>
              <w:rPr>
                <w:rFonts w:ascii="仿宋_GB2312" w:hAnsi="仿宋_GB2312" w:cs="仿宋_GB2312" w:eastAsia="仿宋_GB2312"/>
                <w:sz w:val="20"/>
                <w:color w:val="0000FF"/>
              </w:rPr>
              <w:t>9)《饮用水水源保护区标志技术要求》(HJ/T433-2008);</w:t>
            </w:r>
          </w:p>
          <w:p>
            <w:pPr>
              <w:pStyle w:val="null3"/>
              <w:jc w:val="both"/>
            </w:pPr>
            <w:r>
              <w:rPr>
                <w:rFonts w:ascii="仿宋_GB2312" w:hAnsi="仿宋_GB2312" w:cs="仿宋_GB2312" w:eastAsia="仿宋_GB2312"/>
                <w:sz w:val="20"/>
                <w:color w:val="0000FF"/>
              </w:rPr>
              <w:t>10)《地表水环境质量标准》(GB3838-2002);</w:t>
            </w:r>
          </w:p>
          <w:p>
            <w:pPr>
              <w:pStyle w:val="null3"/>
              <w:jc w:val="both"/>
            </w:pPr>
            <w:r>
              <w:rPr>
                <w:rFonts w:ascii="仿宋_GB2312" w:hAnsi="仿宋_GB2312" w:cs="仿宋_GB2312" w:eastAsia="仿宋_GB2312"/>
                <w:sz w:val="20"/>
                <w:color w:val="0000FF"/>
              </w:rPr>
              <w:t>11)《生活饮用水卫生标准》(GB5749-2006);</w:t>
            </w:r>
          </w:p>
          <w:p>
            <w:pPr>
              <w:pStyle w:val="null3"/>
              <w:jc w:val="both"/>
            </w:pPr>
            <w:r>
              <w:rPr>
                <w:rFonts w:ascii="仿宋_GB2312" w:hAnsi="仿宋_GB2312" w:cs="仿宋_GB2312" w:eastAsia="仿宋_GB2312"/>
                <w:sz w:val="20"/>
                <w:color w:val="0000FF"/>
              </w:rPr>
              <w:t>12)《地表水和污水监测技术规范》(HJ/T91-2002);</w:t>
            </w:r>
          </w:p>
          <w:p>
            <w:pPr>
              <w:pStyle w:val="null3"/>
              <w:jc w:val="both"/>
            </w:pPr>
            <w:r>
              <w:rPr>
                <w:rFonts w:ascii="仿宋_GB2312" w:hAnsi="仿宋_GB2312" w:cs="仿宋_GB2312" w:eastAsia="仿宋_GB2312"/>
                <w:sz w:val="20"/>
                <w:color w:val="0000FF"/>
              </w:rPr>
              <w:t>13)《集中式饮用水水源地环境保护指南》(环办〔2012〕50号);</w:t>
            </w:r>
          </w:p>
          <w:p>
            <w:pPr>
              <w:pStyle w:val="null3"/>
              <w:jc w:val="both"/>
            </w:pPr>
            <w:r>
              <w:rPr>
                <w:rFonts w:ascii="仿宋_GB2312" w:hAnsi="仿宋_GB2312" w:cs="仿宋_GB2312" w:eastAsia="仿宋_GB2312"/>
                <w:sz w:val="20"/>
                <w:color w:val="0000FF"/>
              </w:rPr>
              <w:t>14)《集中式饮用水水源地规范化建设环境保护技术要求》(HJ773-2015,2016-03-01实施);</w:t>
            </w:r>
          </w:p>
          <w:p>
            <w:pPr>
              <w:pStyle w:val="null3"/>
              <w:jc w:val="both"/>
            </w:pPr>
            <w:r>
              <w:rPr>
                <w:rFonts w:ascii="仿宋_GB2312" w:hAnsi="仿宋_GB2312" w:cs="仿宋_GB2312" w:eastAsia="仿宋_GB2312"/>
                <w:sz w:val="20"/>
                <w:color w:val="0000FF"/>
              </w:rPr>
              <w:t>15)《集中式饮用水水源地环境保护状况评估技术规范》(HJ774-2015,2016-03-01实施);</w:t>
            </w:r>
          </w:p>
          <w:p>
            <w:pPr>
              <w:pStyle w:val="null3"/>
              <w:jc w:val="both"/>
            </w:pPr>
            <w:r>
              <w:rPr>
                <w:rFonts w:ascii="仿宋_GB2312" w:hAnsi="仿宋_GB2312" w:cs="仿宋_GB2312" w:eastAsia="仿宋_GB2312"/>
                <w:sz w:val="20"/>
                <w:b/>
                <w:color w:val="0000FF"/>
              </w:rPr>
              <w:t>三、工作说明</w:t>
            </w:r>
          </w:p>
          <w:p>
            <w:pPr>
              <w:pStyle w:val="null3"/>
              <w:jc w:val="both"/>
            </w:pPr>
            <w:r>
              <w:rPr>
                <w:rFonts w:ascii="仿宋_GB2312" w:hAnsi="仿宋_GB2312" w:cs="仿宋_GB2312" w:eastAsia="仿宋_GB2312"/>
                <w:sz w:val="20"/>
                <w:color w:val="0000FF"/>
              </w:rPr>
              <w:t>(一)做好实地调研。开展饮用水水源地水量、水质状况、环境管理状况调查，分析水源地存在的水量、水质和管理问题，识别水源地主要环境问题和环境风险的情况，作为保护区划分的基础资料。具体调查内容应根据拟划定保护区的水源类型和采用的保护区调整方法确定；调查深度根据保护区调整的实际需求确定。</w:t>
            </w:r>
          </w:p>
          <w:p>
            <w:pPr>
              <w:pStyle w:val="null3"/>
              <w:jc w:val="both"/>
            </w:pPr>
            <w:r>
              <w:rPr>
                <w:rFonts w:ascii="仿宋_GB2312" w:hAnsi="仿宋_GB2312" w:cs="仿宋_GB2312" w:eastAsia="仿宋_GB2312"/>
                <w:sz w:val="20"/>
                <w:color w:val="0000FF"/>
              </w:rPr>
              <w:t>(二)确定保护区范围，编制技术报告。依据不同水源地类型、取水规模、污染源分布状况、主要污染特征、取水口所在水体(水域、区域)水文、水动力条件、径补排特征等技术资料，结合环境管理、经济活动、土地利用现状及城乡规划要求，筛选出适宜的保护区划分方法，通过计算分析，合理确定各级保护区的水域、陆域范围，并初步确定保护区边界主要拐点的经纬度坐标和边界线。依据相关文件要求编制划定技术报告。</w:t>
            </w:r>
          </w:p>
          <w:p>
            <w:pPr>
              <w:pStyle w:val="null3"/>
              <w:jc w:val="both"/>
            </w:pPr>
            <w:r>
              <w:rPr>
                <w:rFonts w:ascii="仿宋_GB2312" w:hAnsi="仿宋_GB2312" w:cs="仿宋_GB2312" w:eastAsia="仿宋_GB2312"/>
                <w:sz w:val="20"/>
                <w:color w:val="0000FF"/>
              </w:rPr>
              <w:t>(三)组织专家论证。组织专家论证，对保护区技术报告和划定方案进行审议，充分采纳专家组意见，完善划定方案和技术报告。</w:t>
            </w:r>
          </w:p>
          <w:p>
            <w:pPr>
              <w:pStyle w:val="null3"/>
              <w:jc w:val="both"/>
            </w:pPr>
            <w:r>
              <w:rPr>
                <w:rFonts w:ascii="仿宋_GB2312" w:hAnsi="仿宋_GB2312" w:cs="仿宋_GB2312" w:eastAsia="仿宋_GB2312"/>
                <w:sz w:val="20"/>
                <w:color w:val="0000FF"/>
              </w:rPr>
              <w:t>(四)规范划定成果，报政府审批。规范成果资料，依据划定成果对保护区现场定界、定标，最终确定主要拐点的经纬度坐标，制作饮用水水源保护区图件。将编制成果及相关图件上报市(区)政府，进行审批。</w:t>
            </w:r>
          </w:p>
          <w:p>
            <w:pPr>
              <w:pStyle w:val="null3"/>
              <w:jc w:val="both"/>
            </w:pPr>
            <w:r>
              <w:rPr>
                <w:rFonts w:ascii="仿宋_GB2312" w:hAnsi="仿宋_GB2312" w:cs="仿宋_GB2312" w:eastAsia="仿宋_GB2312"/>
                <w:sz w:val="20"/>
                <w:b/>
                <w:color w:val="0000FF"/>
              </w:rPr>
              <w:t>四、服务期</w:t>
            </w:r>
            <w:r>
              <w:br/>
            </w:r>
            <w:r>
              <w:rPr>
                <w:rFonts w:ascii="仿宋_GB2312" w:hAnsi="仿宋_GB2312" w:cs="仿宋_GB2312" w:eastAsia="仿宋_GB2312"/>
                <w:sz w:val="20"/>
                <w:color w:val="0000FF"/>
              </w:rPr>
              <w:t>90</w:t>
            </w:r>
            <w:r>
              <w:rPr>
                <w:rFonts w:ascii="仿宋_GB2312" w:hAnsi="仿宋_GB2312" w:cs="仿宋_GB2312" w:eastAsia="仿宋_GB2312"/>
                <w:sz w:val="20"/>
                <w:color w:val="0000FF"/>
              </w:rPr>
              <w:t>日历天。</w:t>
            </w:r>
            <w:r>
              <w:br/>
            </w:r>
            <w:r>
              <w:rPr>
                <w:rFonts w:ascii="仿宋_GB2312" w:hAnsi="仿宋_GB2312" w:cs="仿宋_GB2312" w:eastAsia="仿宋_GB2312"/>
                <w:sz w:val="20"/>
                <w:b/>
                <w:color w:val="0000FF"/>
              </w:rPr>
              <w:t>五、质量标准</w:t>
            </w:r>
            <w:r>
              <w:br/>
            </w:r>
            <w:r>
              <w:rPr>
                <w:rFonts w:ascii="仿宋_GB2312" w:hAnsi="仿宋_GB2312" w:cs="仿宋_GB2312" w:eastAsia="仿宋_GB2312"/>
                <w:sz w:val="20"/>
                <w:color w:val="0000FF"/>
              </w:rPr>
              <w:t>符合国家、省、市及行业标准要求</w:t>
            </w:r>
            <w:r>
              <w:rPr>
                <w:rFonts w:ascii="仿宋_GB2312" w:hAnsi="仿宋_GB2312" w:cs="仿宋_GB2312" w:eastAsia="仿宋_GB2312"/>
                <w:sz w:val="20"/>
                <w:color w:val="0000FF"/>
              </w:rPr>
              <w:t>。</w:t>
            </w:r>
          </w:p>
          <w:p>
            <w:pPr>
              <w:pStyle w:val="null3"/>
            </w:pPr>
            <w:r>
              <w:rPr>
                <w:rFonts w:ascii="仿宋_GB2312" w:hAnsi="仿宋_GB2312" w:cs="仿宋_GB2312" w:eastAsia="仿宋_GB2312"/>
                <w:sz w:val="20"/>
                <w:b/>
                <w:color w:val="0000FF"/>
              </w:rPr>
              <w:t>六、合同支付</w:t>
            </w:r>
            <w:r>
              <w:br/>
            </w:r>
            <w:r>
              <w:rPr>
                <w:rFonts w:ascii="仿宋_GB2312" w:hAnsi="仿宋_GB2312" w:cs="仿宋_GB2312" w:eastAsia="仿宋_GB2312"/>
                <w:sz w:val="20"/>
                <w:color w:val="0000FF"/>
              </w:rPr>
              <w:t>采购包</w:t>
            </w:r>
            <w:r>
              <w:rPr>
                <w:rFonts w:ascii="仿宋_GB2312" w:hAnsi="仿宋_GB2312" w:cs="仿宋_GB2312" w:eastAsia="仿宋_GB2312"/>
                <w:sz w:val="20"/>
                <w:color w:val="0000FF"/>
              </w:rPr>
              <w:t>1：采用固定总价合同</w:t>
            </w:r>
            <w:r>
              <w:rPr>
                <w:rFonts w:ascii="仿宋_GB2312" w:hAnsi="仿宋_GB2312" w:cs="仿宋_GB2312" w:eastAsia="仿宋_GB2312"/>
                <w:sz w:val="20"/>
                <w:color w:val="0000FF"/>
              </w:rPr>
              <w:t>。</w:t>
            </w:r>
            <w:r>
              <w:rPr>
                <w:rFonts w:ascii="仿宋_GB2312" w:hAnsi="仿宋_GB2312" w:cs="仿宋_GB2312" w:eastAsia="仿宋_GB2312"/>
                <w:sz w:val="20"/>
                <w:color w:val="0000FF"/>
              </w:rPr>
              <w:t xml:space="preserve"> </w:t>
            </w:r>
            <w:r>
              <w:rPr>
                <w:rFonts w:ascii="仿宋_GB2312" w:hAnsi="仿宋_GB2312" w:cs="仿宋_GB2312" w:eastAsia="仿宋_GB2312"/>
                <w:sz w:val="20"/>
                <w:color w:val="0000FF"/>
              </w:rPr>
              <w:t>付款条件说明：合同签订，达到付款条件起</w:t>
            </w:r>
            <w:r>
              <w:rPr>
                <w:rFonts w:ascii="仿宋_GB2312" w:hAnsi="仿宋_GB2312" w:cs="仿宋_GB2312" w:eastAsia="仿宋_GB2312"/>
                <w:sz w:val="20"/>
                <w:color w:val="0000FF"/>
              </w:rPr>
              <w:t xml:space="preserve">15日内，支付合同总金额的 </w:t>
            </w:r>
            <w:r>
              <w:rPr>
                <w:rFonts w:ascii="仿宋_GB2312" w:hAnsi="仿宋_GB2312" w:cs="仿宋_GB2312" w:eastAsia="仿宋_GB2312"/>
                <w:sz w:val="20"/>
                <w:color w:val="0000FF"/>
              </w:rPr>
              <w:t>3</w:t>
            </w:r>
            <w:r>
              <w:rPr>
                <w:rFonts w:ascii="仿宋_GB2312" w:hAnsi="仿宋_GB2312" w:cs="仿宋_GB2312" w:eastAsia="仿宋_GB2312"/>
                <w:sz w:val="20"/>
                <w:color w:val="0000FF"/>
              </w:rPr>
              <w:t>0 %； 供应商完成服务内容并通过验收，达到付款条件起15日内，支付合同总金额的</w:t>
            </w:r>
            <w:r>
              <w:rPr>
                <w:rFonts w:ascii="仿宋_GB2312" w:hAnsi="仿宋_GB2312" w:cs="仿宋_GB2312" w:eastAsia="仿宋_GB2312"/>
                <w:sz w:val="20"/>
                <w:color w:val="0000FF"/>
              </w:rPr>
              <w:t>7</w:t>
            </w:r>
            <w:r>
              <w:rPr>
                <w:rFonts w:ascii="仿宋_GB2312" w:hAnsi="仿宋_GB2312" w:cs="仿宋_GB2312" w:eastAsia="仿宋_GB2312"/>
                <w:sz w:val="20"/>
                <w:color w:val="0000FF"/>
              </w:rPr>
              <w:t>0 %。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陕西省铜川市耀州区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供应商完成服务内容并通过验收，符合国家、省、市及行业标准要求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供应商完成服务内容并通过验收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会计师事务所出具的完整的2024年度审计报告（成立时间至提交磋商响应文件截止时间不足一年的可提供成立后任意时段的资产负债表），或提交磋商响应截止时间前6个月内银行出具的资信证明，或信用担保机构出具的担保函（以上三种形式的资料提供任何一种即可）；其他组织和自然人提供银行出具的资信证明或财务报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营业执照或其他主体证明资料</w:t>
            </w:r>
          </w:p>
        </w:tc>
        <w:tc>
          <w:tcPr>
            <w:tcW w:type="dxa" w:w="3322"/>
          </w:tcPr>
          <w:p>
            <w:pPr>
              <w:pStyle w:val="null3"/>
            </w:pPr>
            <w:r>
              <w:rPr>
                <w:rFonts w:ascii="仿宋_GB2312" w:hAnsi="仿宋_GB2312" w:cs="仿宋_GB2312" w:eastAsia="仿宋_GB2312"/>
              </w:rPr>
              <w:t>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供应商须提供具有履行合同所必需的设备和专业技术能力的承诺函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 注：以响应文件中加盖单位公章的基本资格条件承诺函为准。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 注：以响应文件中提供的非联合体磋商的声明为准。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且与营业执照或其他证明资料上信息一致。法定代表人授权代表参加磋商的，须出具法定代表人授权书及授权代表身份证；自然人参加磋商的须提供身份证。注：以磋商响应文件中所附签章齐全的证明资料为准。</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每次报价唯一，且未超过采购包最高限价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采购文件实质性条款响应</w:t>
            </w:r>
          </w:p>
        </w:tc>
        <w:tc>
          <w:tcPr>
            <w:tcW w:type="dxa" w:w="3322"/>
          </w:tcPr>
          <w:p>
            <w:pPr>
              <w:pStyle w:val="null3"/>
            </w:pPr>
            <w:r>
              <w:rPr>
                <w:rFonts w:ascii="仿宋_GB2312" w:hAnsi="仿宋_GB2312" w:cs="仿宋_GB2312" w:eastAsia="仿宋_GB2312"/>
              </w:rPr>
              <w:t>对“服务内容、服务地点、付款方式、质量标准”等实质性内容进行响应且未附加采购人难以接受的条件</w:t>
            </w:r>
          </w:p>
        </w:tc>
        <w:tc>
          <w:tcPr>
            <w:tcW w:type="dxa" w:w="1661"/>
          </w:tcPr>
          <w:p>
            <w:pPr>
              <w:pStyle w:val="null3"/>
            </w:pPr>
            <w:r>
              <w:rPr>
                <w:rFonts w:ascii="仿宋_GB2312" w:hAnsi="仿宋_GB2312" w:cs="仿宋_GB2312" w:eastAsia="仿宋_GB2312"/>
              </w:rPr>
              <w:t>服务内容及服务邀请应答表 商务应答表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编制的服务方案，包括但不限于资料收集、整理，环境调研、水源基础信息调研，组织专家论证、方案评审、提交验收等。方案内容完整全面，切合本项目实际情况，内容清晰合理，并紧扣本项目实际情况，计10分； 方案内容基本全面，切合项目实际情况，内容基本清晰且具有一定合理性，计8分； 方案内容明确，合理性欠缺，计6分； 方案内容含糊、不合理，无法保障项目实施，计3分。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服务质量保障措施完善、质量目标明确，保证措施内容详细全面，条理清晰，计10分； 服务质量保障措施基本完善、质量目标清楚，保证措施基本详细、条理基本清晰，计8分； 服务质量保障措施不完善，质量目标及保证措施明确，但条理不清晰，计6分； 服务质量保障措施不完善或缺失，质量目标及保证措施含糊，条理不清晰，计3分；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工作进度计划保障措施</w:t>
            </w:r>
          </w:p>
        </w:tc>
        <w:tc>
          <w:tcPr>
            <w:tcW w:type="dxa" w:w="2492"/>
          </w:tcPr>
          <w:p>
            <w:pPr>
              <w:pStyle w:val="null3"/>
            </w:pPr>
            <w:r>
              <w:rPr>
                <w:rFonts w:ascii="仿宋_GB2312" w:hAnsi="仿宋_GB2312" w:cs="仿宋_GB2312" w:eastAsia="仿宋_GB2312"/>
              </w:rPr>
              <w:t>进度计划组织措施内容全面且详细，条理清晰，具有明确的针对性，计10分； 组织措施明确、条理基本清晰，计8分； 组织措施基本明确，条理不清晰，计6分； 组织措施含糊，条理不清晰或有实质性缺陷，无针对性，无法满足项目实施，计3分；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拟投入的设备</w:t>
            </w:r>
          </w:p>
        </w:tc>
        <w:tc>
          <w:tcPr>
            <w:tcW w:type="dxa" w:w="2492"/>
          </w:tcPr>
          <w:p>
            <w:pPr>
              <w:pStyle w:val="null3"/>
            </w:pPr>
            <w:r>
              <w:rPr>
                <w:rFonts w:ascii="仿宋_GB2312" w:hAnsi="仿宋_GB2312" w:cs="仿宋_GB2312" w:eastAsia="仿宋_GB2312"/>
              </w:rPr>
              <w:t>拟投入的设施设备，种类齐全、数量充足、完全满足本项目需求计10分； 拟投入的设施设备，种类齐全、数量充足、基本满足本项目需求计8分； 拟投入的设施设备，种类齐全但数量不充足，基本满足本项目需求计6分； 拟投入的设施设备，种类欠缺、数量不足、无法满足本项目需求计3分；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服务团队配置</w:t>
            </w:r>
          </w:p>
        </w:tc>
        <w:tc>
          <w:tcPr>
            <w:tcW w:type="dxa" w:w="2492"/>
          </w:tcPr>
          <w:p>
            <w:pPr>
              <w:pStyle w:val="null3"/>
            </w:pPr>
            <w:r>
              <w:rPr>
                <w:rFonts w:ascii="仿宋_GB2312" w:hAnsi="仿宋_GB2312" w:cs="仿宋_GB2312" w:eastAsia="仿宋_GB2312"/>
              </w:rPr>
              <w:t>针对本项目拟配备服务团队人员架构齐全、数量充足，配备方案合理高效，逻辑结构清晰，具有针对性计,10分； 针对本项目拟配备服务团队人员架构基本齐全、数量基本充足，配备方案明确且具有一定合理性，逻辑结构基本清晰计8分 ； 针对本项目拟配备服务团队人员架构不齐全、数量基本充足，配备方案含糊，合理性不足计6分 ； 针对本项目拟配备服务团队人员架构不全、数量不足，配备方案含糊，无合理性，计3分；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针对本项目提出的保密措施，内容包含但不限于供应商保密制度，人员的保密制度、纪律，内容完善、全面，计10分； 内容完善、基本全面，计8分； 内容基本完善、不全面，计6分； 内容含糊、不全面，计3分；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重难点分析和把握</w:t>
            </w:r>
          </w:p>
        </w:tc>
        <w:tc>
          <w:tcPr>
            <w:tcW w:type="dxa" w:w="2492"/>
          </w:tcPr>
          <w:p>
            <w:pPr>
              <w:pStyle w:val="null3"/>
            </w:pPr>
            <w:r>
              <w:rPr>
                <w:rFonts w:ascii="仿宋_GB2312" w:hAnsi="仿宋_GB2312" w:cs="仿宋_GB2312" w:eastAsia="仿宋_GB2312"/>
              </w:rPr>
              <w:t>针对本项目的重点把握突出、难点分析到位、提出有针对性的解决方案，解决方案合理、可行，计10分； 针对本项目的重点把握突出、难点分析到位、提出有针对性的解决方案，解决方案基本合理、可行，计8分； 针对本项目的重点把握突出、难点分析到位、提出解决方案不具备针对性，解决方案基本合理、缺乏可行，计6分； 重难点分析不到位，解决方案含糊或缺失，合理性不足，计3分；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针对本项目提出的内容详细、科学、可行，对本项目有实质性促进、提升，计5分； 针对本项目提出的内容详细、科学、可行，计3分； 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供应商需提供服务承诺（包括但不限于成果报告规范性保障，成果报告完整性保障，成果报告准确性保障等）。 根据承诺内容全面且详细，条理清晰，针对性充足且完全贴合项目需求，计5分； 承诺内容含糊不全面，条理不清晰。针对性不足，计3分； 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供应商自2022年1月1日至磋商响应文件递交截止时间前类似项目业绩，每提供1份得2.5分，满分10分。 注：以响应文件中所附的合同协议书复印件为准，时间以合同签订时间为准。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供应商认为需要提供的其他资料.docx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1.评审范围：有效的磋商响应总报价（指经初审合格的供应商的磋商响应总报价）。 2.满足磋商文件要求且最后报价最低的供应商的价格为磋商基准价，其价格分为满分。其他供应商的价格分统一按照下列公式计算： 磋商报价得分=（磋商基准价/最后磋商报价）×分值×100。 3.评分分值计算保留小数点后两位，小数点后第三位“四舍五入”。 4.对需要落实政府采购政策的供应商详见“采购项目需要落实的政府采购政策”。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