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版本号：SHJS-2026ZB00120260120001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铜川市耀州区店子河水库工程用地报批技术服务项目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SHJS-2026ZB001</w:t>
      </w:r>
      <w:r>
        <w:br/>
      </w:r>
      <w:r>
        <w:br/>
      </w:r>
      <w:r>
        <w:br/>
      </w:r>
    </w:p>
    <w:p>
      <w:pPr>
        <w:pStyle w:val="null3"/>
        <w:jc w:val="center"/>
        <w:outlineLvl w:val="2"/>
      </w:pPr>
      <w:r>
        <w:rPr>
          <w:rFonts w:ascii="仿宋_GB2312" w:hAnsi="仿宋_GB2312" w:cs="仿宋_GB2312" w:eastAsia="仿宋_GB2312"/>
          <w:sz w:val="28"/>
          <w:b/>
        </w:rPr>
        <w:t>铜川市耀州区水务局</w:t>
      </w:r>
    </w:p>
    <w:p>
      <w:pPr>
        <w:pStyle w:val="null3"/>
        <w:jc w:val="center"/>
        <w:outlineLvl w:val="2"/>
      </w:pPr>
      <w:r>
        <w:rPr>
          <w:rFonts w:ascii="仿宋_GB2312" w:hAnsi="仿宋_GB2312" w:cs="仿宋_GB2312" w:eastAsia="仿宋_GB2312"/>
          <w:sz w:val="28"/>
          <w:b/>
        </w:rPr>
        <w:t>陕西山河建设项目管理有限公司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陕西山河建设项目管理有限公司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铜川市耀州区水务局</w:t>
      </w:r>
      <w:r>
        <w:rPr>
          <w:rFonts w:ascii="仿宋_GB2312" w:hAnsi="仿宋_GB2312" w:cs="仿宋_GB2312" w:eastAsia="仿宋_GB2312"/>
        </w:rPr>
        <w:t>委托，拟对</w:t>
      </w:r>
      <w:r>
        <w:rPr>
          <w:rFonts w:ascii="仿宋_GB2312" w:hAnsi="仿宋_GB2312" w:cs="仿宋_GB2312" w:eastAsia="仿宋_GB2312"/>
        </w:rPr>
        <w:t>铜川市耀州区店子河水库工程用地报批技术服务项目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SHJS-2026ZB001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铜川市耀州区店子河水库工程用地报批技术服务项目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店子河水库工程永久和临时勘测定界报告、土地复垦方案、踏勘论证报告、项目用地组卷编制等工作。主要功能或目标:2130308;需满足的要求:及时掌握有关建设用地报批的国家、省、市政策的最新动向及法律、法规，向采购人提供专业的咨询意见，并在项目实施过程中做出符合政策、法律、法规的动态调整。以务实工作态度，做好用地报批全过程的技术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采购包1（铜川市耀州区店子河水库工程用地报批技术服务项目（包1））：属于专门面向中小企业采购。</w:t>
      </w:r>
    </w:p>
    <w:p>
      <w:pPr>
        <w:pStyle w:val="null3"/>
      </w:pPr>
      <w:r>
        <w:rPr>
          <w:rFonts w:ascii="仿宋_GB2312" w:hAnsi="仿宋_GB2312" w:cs="仿宋_GB2312" w:eastAsia="仿宋_GB2312"/>
        </w:rPr>
        <w:t>采购包2（铜川市耀州区店子河水库工程用地报批技术服务项目（包2））：属于专门面向中小企业采购。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1、营业执照：供应商应为具有独立承担民事责任能力的法人、其他组织或自然人，提供合法有效的统一社会信用代码营业执照（事业单位提供法人证书，自然人提供身份证）。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2、资质证书：供应商须具有行政主管部门颁发的有效的测绘乙级及以上（含乙级）资质。</w:t>
      </w:r>
    </w:p>
    <w:p>
      <w:pPr>
        <w:pStyle w:val="null3"/>
      </w:pPr>
      <w:r>
        <w:rPr>
          <w:rFonts w:ascii="仿宋_GB2312" w:hAnsi="仿宋_GB2312" w:cs="仿宋_GB2312" w:eastAsia="仿宋_GB2312"/>
        </w:rPr>
        <w:t>3、法定代表人授权委托书：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w:t>
      </w:r>
    </w:p>
    <w:p>
      <w:pPr>
        <w:pStyle w:val="null3"/>
      </w:pPr>
      <w:r>
        <w:rPr>
          <w:rFonts w:ascii="仿宋_GB2312" w:hAnsi="仿宋_GB2312" w:cs="仿宋_GB2312" w:eastAsia="仿宋_GB2312"/>
        </w:rPr>
        <w:t>4、项目负责人：拟派项目负责人须具备测绘工程相关专业中级及以上（含中级）技术职称，有类似项目业绩，且为本公司在职人员（提交响应文件截止时间前半年内任意一个月的社会保障资金（养老保险或医疗保险）缴纳证明或有效期内的劳动合同）。</w:t>
      </w:r>
    </w:p>
    <w:p>
      <w:pPr>
        <w:pStyle w:val="null3"/>
      </w:pPr>
      <w:r>
        <w:rPr>
          <w:rFonts w:ascii="仿宋_GB2312" w:hAnsi="仿宋_GB2312" w:cs="仿宋_GB2312" w:eastAsia="仿宋_GB2312"/>
        </w:rPr>
        <w:t>5、财务状况报告：须提供2024年具有财务审计资质的单位出具的财务审计报告（至少包括资产负债表和利润表，成立时间至提交响应文件截止时间不足一年的可提供成立后任意时段的资产负债表）或其开标前六个月内基本户开户银行出具的资信证明及基本存款账户开户许可证。</w:t>
      </w:r>
    </w:p>
    <w:p>
      <w:pPr>
        <w:pStyle w:val="null3"/>
      </w:pPr>
      <w:r>
        <w:rPr>
          <w:rFonts w:ascii="仿宋_GB2312" w:hAnsi="仿宋_GB2312" w:cs="仿宋_GB2312" w:eastAsia="仿宋_GB2312"/>
        </w:rPr>
        <w:t>6、社会保障资金缴纳证明：提供自2025年01月01日至今已缴存的至少一个月的社会保障资金缴存单据或社保机构开具的社会保险参保缴费情况证明，单据或证明上需有社保机构或代收机构的公章或业务专用章。依法不需要缴纳社会保障资金的供应商应提供相关文件证明。</w:t>
      </w:r>
    </w:p>
    <w:p>
      <w:pPr>
        <w:pStyle w:val="null3"/>
      </w:pPr>
      <w:r>
        <w:rPr>
          <w:rFonts w:ascii="仿宋_GB2312" w:hAnsi="仿宋_GB2312" w:cs="仿宋_GB2312" w:eastAsia="仿宋_GB2312"/>
        </w:rPr>
        <w:t>7、税收缴纳证明：提供自2025年01月01日至今已缴存的至少一个月的纳税证明或完税证明，纳税证明或完税证明上应有代收机构或税务机关的公章或业务专用章。依法免税的投标人应提供相关文件证明。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8、书面承诺：提供具有履行本合同所必需的设备和专业技术能力的承诺函。</w:t>
      </w:r>
    </w:p>
    <w:p>
      <w:pPr>
        <w:pStyle w:val="null3"/>
      </w:pPr>
      <w:r>
        <w:rPr>
          <w:rFonts w:ascii="仿宋_GB2312" w:hAnsi="仿宋_GB2312" w:cs="仿宋_GB2312" w:eastAsia="仿宋_GB2312"/>
        </w:rPr>
        <w:t>9、书面声明：参加政府采购活动前三年内，在经营活动中没有重大违法记录的书面声明。</w:t>
      </w:r>
    </w:p>
    <w:p>
      <w:pPr>
        <w:pStyle w:val="null3"/>
      </w:pPr>
      <w:r>
        <w:rPr>
          <w:rFonts w:ascii="仿宋_GB2312" w:hAnsi="仿宋_GB2312" w:cs="仿宋_GB2312" w:eastAsia="仿宋_GB2312"/>
        </w:rPr>
        <w:t>10、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采购公告发布之日起 10 日内的查询截图。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1、营业执照：供应商应为具有独立承担民事责任能力的法人、其他组织或自然人，提供合法有效的统一社会信用代码营业执照（事业单位提供法人证书，自然人提供身份证）。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2、资质证书：供应商须具有有效的土地规划机构等级证书乙级及以上（含乙级）资质。</w:t>
      </w:r>
    </w:p>
    <w:p>
      <w:pPr>
        <w:pStyle w:val="null3"/>
      </w:pPr>
      <w:r>
        <w:rPr>
          <w:rFonts w:ascii="仿宋_GB2312" w:hAnsi="仿宋_GB2312" w:cs="仿宋_GB2312" w:eastAsia="仿宋_GB2312"/>
        </w:rPr>
        <w:t>3、法定代表人授权委托书：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w:t>
      </w:r>
    </w:p>
    <w:p>
      <w:pPr>
        <w:pStyle w:val="null3"/>
      </w:pPr>
      <w:r>
        <w:rPr>
          <w:rFonts w:ascii="仿宋_GB2312" w:hAnsi="仿宋_GB2312" w:cs="仿宋_GB2312" w:eastAsia="仿宋_GB2312"/>
        </w:rPr>
        <w:t>4、项目负责人：拟派项目负责人须具备土地规划类相关专业中级及以上（含中级）技术职称，有类似项目业绩，且为本公司在职人员（提交响应文件截止时间前半年内任意一个月的社会保障资金（养老保险或医疗保险）缴纳证明或有效期内的劳动合同）。</w:t>
      </w:r>
    </w:p>
    <w:p>
      <w:pPr>
        <w:pStyle w:val="null3"/>
      </w:pPr>
      <w:r>
        <w:rPr>
          <w:rFonts w:ascii="仿宋_GB2312" w:hAnsi="仿宋_GB2312" w:cs="仿宋_GB2312" w:eastAsia="仿宋_GB2312"/>
        </w:rPr>
        <w:t>5、财务状况报告：须提供2024年具有财务审计资质的单位出具的财务审计报告（至少包括资产负债表和利润表，成立时间至提交响应文件截止时间不足一年的可提供成立后任意时段的资产负债表）或其开标前六个月内基本户开户银行出具的资信证明及基本存款账户开户许可证。</w:t>
      </w:r>
    </w:p>
    <w:p>
      <w:pPr>
        <w:pStyle w:val="null3"/>
      </w:pPr>
      <w:r>
        <w:rPr>
          <w:rFonts w:ascii="仿宋_GB2312" w:hAnsi="仿宋_GB2312" w:cs="仿宋_GB2312" w:eastAsia="仿宋_GB2312"/>
        </w:rPr>
        <w:t>6、社会保障资金缴纳证明：提供自2025年01月01日至今已缴存的至少一个月的社会保障资金缴存单据或社保机构开具的社会保险参保缴费情况证明，单据或证明上需有社保机构或代收机构的公章或业务专用章。依法不需要缴纳社会保障资金的供应商应提供相关文件证明。</w:t>
      </w:r>
    </w:p>
    <w:p>
      <w:pPr>
        <w:pStyle w:val="null3"/>
      </w:pPr>
      <w:r>
        <w:rPr>
          <w:rFonts w:ascii="仿宋_GB2312" w:hAnsi="仿宋_GB2312" w:cs="仿宋_GB2312" w:eastAsia="仿宋_GB2312"/>
        </w:rPr>
        <w:t>7、税收缴纳证明：提供自2025年01月01日至今已缴存的至少一个月的纳税证明或完税证明，纳税证明或完税证明上应有代收机构或税务机关的公章或业务专用章。依法免税的投标人应提供相关文件证明。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8、书面承诺：提供具有履行本合同所必需的设备和专业技术能力的承诺函。</w:t>
      </w:r>
    </w:p>
    <w:p>
      <w:pPr>
        <w:pStyle w:val="null3"/>
      </w:pPr>
      <w:r>
        <w:rPr>
          <w:rFonts w:ascii="仿宋_GB2312" w:hAnsi="仿宋_GB2312" w:cs="仿宋_GB2312" w:eastAsia="仿宋_GB2312"/>
        </w:rPr>
        <w:t>9、书面声明：参加政府采购活动前三年内，在经营活动中没有重大违法记录的书面声明。</w:t>
      </w:r>
    </w:p>
    <w:p>
      <w:pPr>
        <w:pStyle w:val="null3"/>
      </w:pPr>
      <w:r>
        <w:rPr>
          <w:rFonts w:ascii="仿宋_GB2312" w:hAnsi="仿宋_GB2312" w:cs="仿宋_GB2312" w:eastAsia="仿宋_GB2312"/>
        </w:rPr>
        <w:t>10、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采购公告发布之日起 10 日内的查询截图。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铜川市耀州区沮宁路1号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宋卫东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13325399176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陕西山河建设项目管理有限公司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陕西省铜川市新区金谟西路崇文街52号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0919-3195800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采购包1：252,000.00元</w:t>
            </w:r>
          </w:p>
          <w:p>
            <w:pPr>
              <w:pStyle w:val="null3"/>
            </w:pPr>
            <w:r>
              <w:rPr>
                <w:rFonts w:ascii="仿宋_GB2312" w:hAnsi="仿宋_GB2312" w:cs="仿宋_GB2312" w:eastAsia="仿宋_GB2312"/>
              </w:rPr>
              <w:t>采购包2：598,000.00元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代理服务费收费标准：参照国家计委《招标代理服务管理暂行办法》（计价格【2002】1980 号）、发改办计价格 [2003] 857 号、发改价格【2011】534 号及陕西省陕价行发【2014】88 号文件规定的收费标准核算，最终金额以陕西政务服务网（网上中介服务超市）中选结果为准。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铜川市耀州区水务局</w:t>
      </w:r>
      <w:r>
        <w:rPr>
          <w:rFonts w:ascii="仿宋_GB2312" w:hAnsi="仿宋_GB2312" w:cs="仿宋_GB2312" w:eastAsia="仿宋_GB2312"/>
        </w:rPr>
        <w:t>和</w:t>
      </w:r>
      <w:r>
        <w:rPr>
          <w:rFonts w:ascii="仿宋_GB2312" w:hAnsi="仿宋_GB2312" w:cs="仿宋_GB2312" w:eastAsia="仿宋_GB2312"/>
        </w:rPr>
        <w:t>陕西山河建设项目管理有限公司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陕西山河建设项目管理有限公司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陕西山河建设项目管理有限公司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供应商所供服务及成果文件须满足行业及国家相关规定标准。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供应商所供服务及成果文件须满足行业及国家相关规定标准。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联系人：李沛</w:t>
      </w:r>
    </w:p>
    <w:p>
      <w:pPr>
        <w:pStyle w:val="null3"/>
      </w:pPr>
      <w:r>
        <w:rPr>
          <w:rFonts w:ascii="仿宋_GB2312" w:hAnsi="仿宋_GB2312" w:cs="仿宋_GB2312" w:eastAsia="仿宋_GB2312"/>
        </w:rPr>
        <w:t>联系电话：0919-3195800</w:t>
      </w:r>
    </w:p>
    <w:p>
      <w:pPr>
        <w:pStyle w:val="null3"/>
      </w:pPr>
      <w:r>
        <w:rPr>
          <w:rFonts w:ascii="仿宋_GB2312" w:hAnsi="仿宋_GB2312" w:cs="仿宋_GB2312" w:eastAsia="仿宋_GB2312"/>
        </w:rPr>
        <w:t>地址：陕西省铜川市新区金谟西路崇文街52号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店子河水库工程永久和临时勘测定界报告、土地复垦方案、踏勘论证报告、项目用地组卷编制等工作。主要功能或目标:2130308;需满足的要求:及时掌握有关建设用地报批的国家、省、市政策的最新动向及法律、法规，向采购人提供专业的咨询意见，并在项目实施过程中做出符合政策、法律、法规的动态调整。以务实工作态度，做好用地报批全过程的技术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252,000.00</w:t>
      </w:r>
    </w:p>
    <w:p>
      <w:pPr>
        <w:pStyle w:val="null3"/>
      </w:pPr>
      <w:r>
        <w:rPr>
          <w:rFonts w:ascii="仿宋_GB2312" w:hAnsi="仿宋_GB2312" w:cs="仿宋_GB2312" w:eastAsia="仿宋_GB2312"/>
        </w:rPr>
        <w:t>采购包最高限价（元）: 252,000.00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铜川市耀州区店子河水库工程用地报批技术服务项目（包1）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598,000.00</w:t>
      </w:r>
    </w:p>
    <w:p>
      <w:pPr>
        <w:pStyle w:val="null3"/>
      </w:pPr>
      <w:r>
        <w:rPr>
          <w:rFonts w:ascii="仿宋_GB2312" w:hAnsi="仿宋_GB2312" w:cs="仿宋_GB2312" w:eastAsia="仿宋_GB2312"/>
        </w:rPr>
        <w:t>采购包最高限价（元）: 598,000.00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铜川市耀州区店子河水库工程用地报批技术服务项目（包2）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标的名称：铜川市耀州区店子河水库工程用地报批技术服务项目（包1）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pPr>
            <w:r>
              <w:rPr>
                <w:rFonts w:ascii="仿宋_GB2312" w:hAnsi="仿宋_GB2312" w:cs="仿宋_GB2312" w:eastAsia="仿宋_GB2312"/>
                <w:sz w:val="20"/>
                <w:color w:val="000000"/>
              </w:rPr>
              <w:t>一、服务内容：</w:t>
            </w:r>
          </w:p>
          <w:p>
            <w:pPr>
              <w:pStyle w:val="null3"/>
              <w:ind w:firstLine="480"/>
            </w:pPr>
            <w:r>
              <w:rPr>
                <w:rFonts w:ascii="仿宋_GB2312" w:hAnsi="仿宋_GB2312" w:cs="仿宋_GB2312" w:eastAsia="仿宋_GB2312"/>
                <w:sz w:val="20"/>
                <w:color w:val="000000"/>
              </w:rPr>
              <w:t>根据铜川市耀州区店子河水库工程用地报批技术服务项目（包1）建设的内容，结合当地环境特征，按照国家、行业相关技术和标准以及省市区有关规定，以务实工作态度，高质量完成铜川市耀州区店子河水库工程永久勘测定界和临时用地勘测定界工作，并通过审查，取得成果资料。</w:t>
            </w:r>
          </w:p>
          <w:p>
            <w:pPr>
              <w:pStyle w:val="null3"/>
              <w:ind w:firstLine="400"/>
            </w:pPr>
            <w:r>
              <w:rPr>
                <w:rFonts w:ascii="仿宋_GB2312" w:hAnsi="仿宋_GB2312" w:cs="仿宋_GB2312" w:eastAsia="仿宋_GB2312"/>
                <w:sz w:val="20"/>
                <w:color w:val="000000"/>
              </w:rPr>
              <w:t>二、技术要求：</w:t>
            </w:r>
          </w:p>
          <w:p>
            <w:pPr>
              <w:pStyle w:val="null3"/>
              <w:ind w:firstLine="400"/>
            </w:pPr>
            <w:r>
              <w:rPr>
                <w:rFonts w:ascii="仿宋_GB2312" w:hAnsi="仿宋_GB2312" w:cs="仿宋_GB2312" w:eastAsia="仿宋_GB2312"/>
                <w:sz w:val="20"/>
                <w:color w:val="000000"/>
              </w:rPr>
              <w:t>《土地勘测定界规程》（</w:t>
            </w:r>
            <w:r>
              <w:rPr>
                <w:rFonts w:ascii="仿宋_GB2312" w:hAnsi="仿宋_GB2312" w:cs="仿宋_GB2312" w:eastAsia="仿宋_GB2312"/>
                <w:sz w:val="20"/>
                <w:color w:val="000000"/>
              </w:rPr>
              <w:t>TD/T1008-2019）</w:t>
            </w:r>
          </w:p>
          <w:p>
            <w:pPr>
              <w:pStyle w:val="null3"/>
              <w:ind w:firstLine="400"/>
            </w:pPr>
            <w:r>
              <w:rPr>
                <w:rFonts w:ascii="仿宋_GB2312" w:hAnsi="仿宋_GB2312" w:cs="仿宋_GB2312" w:eastAsia="仿宋_GB2312"/>
                <w:sz w:val="20"/>
                <w:color w:val="000000"/>
              </w:rPr>
              <w:t>《地籍调查规程》（</w:t>
            </w:r>
            <w:r>
              <w:rPr>
                <w:rFonts w:ascii="仿宋_GB2312" w:hAnsi="仿宋_GB2312" w:cs="仿宋_GB2312" w:eastAsia="仿宋_GB2312"/>
                <w:sz w:val="20"/>
                <w:color w:val="000000"/>
              </w:rPr>
              <w:t>GB∕T 42547-2023）</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1：500、1：1000、1：2000地形图图式》（GB/T20257.1-2017）</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1：5000、1：10000地形图图式》（GB/T20257.2-2017）</w:t>
            </w:r>
          </w:p>
          <w:p>
            <w:pPr>
              <w:pStyle w:val="null3"/>
              <w:ind w:firstLine="400"/>
            </w:pPr>
            <w:r>
              <w:rPr>
                <w:rFonts w:ascii="仿宋_GB2312" w:hAnsi="仿宋_GB2312" w:cs="仿宋_GB2312" w:eastAsia="仿宋_GB2312"/>
                <w:sz w:val="20"/>
                <w:color w:val="000000"/>
              </w:rPr>
              <w:t>《土地利用现状分类》（</w:t>
            </w:r>
            <w:r>
              <w:rPr>
                <w:rFonts w:ascii="仿宋_GB2312" w:hAnsi="仿宋_GB2312" w:cs="仿宋_GB2312" w:eastAsia="仿宋_GB2312"/>
                <w:sz w:val="20"/>
                <w:color w:val="000000"/>
              </w:rPr>
              <w:t>GB／T21010-2017）</w:t>
            </w:r>
          </w:p>
          <w:p>
            <w:pPr>
              <w:pStyle w:val="null3"/>
              <w:ind w:firstLine="400"/>
            </w:pPr>
            <w:r>
              <w:rPr>
                <w:rFonts w:ascii="仿宋_GB2312" w:hAnsi="仿宋_GB2312" w:cs="仿宋_GB2312" w:eastAsia="仿宋_GB2312"/>
                <w:sz w:val="20"/>
                <w:color w:val="000000"/>
              </w:rPr>
              <w:t>《测绘成果质量检查与验收》（</w:t>
            </w:r>
            <w:r>
              <w:rPr>
                <w:rFonts w:ascii="仿宋_GB2312" w:hAnsi="仿宋_GB2312" w:cs="仿宋_GB2312" w:eastAsia="仿宋_GB2312"/>
                <w:sz w:val="20"/>
                <w:color w:val="000000"/>
              </w:rPr>
              <w:t>GB/T 24356-2023）</w:t>
            </w:r>
          </w:p>
          <w:p>
            <w:pPr>
              <w:pStyle w:val="null3"/>
              <w:ind w:firstLine="400"/>
            </w:pPr>
            <w:r>
              <w:rPr>
                <w:rFonts w:ascii="仿宋_GB2312" w:hAnsi="仿宋_GB2312" w:cs="仿宋_GB2312" w:eastAsia="仿宋_GB2312"/>
                <w:sz w:val="20"/>
                <w:color w:val="000000"/>
              </w:rPr>
              <w:t>《大地测量控制点坐标转换技术规范》（</w:t>
            </w:r>
            <w:r>
              <w:rPr>
                <w:rFonts w:ascii="仿宋_GB2312" w:hAnsi="仿宋_GB2312" w:cs="仿宋_GB2312" w:eastAsia="仿宋_GB2312"/>
                <w:sz w:val="20"/>
                <w:color w:val="000000"/>
              </w:rPr>
              <w:t>CH/T 2014-2016）</w:t>
            </w:r>
          </w:p>
          <w:p>
            <w:pPr>
              <w:pStyle w:val="null3"/>
              <w:ind w:firstLine="400"/>
            </w:pPr>
            <w:r>
              <w:rPr>
                <w:rFonts w:ascii="仿宋_GB2312" w:hAnsi="仿宋_GB2312" w:cs="仿宋_GB2312" w:eastAsia="仿宋_GB2312"/>
                <w:sz w:val="20"/>
                <w:color w:val="000000"/>
              </w:rPr>
              <w:t>《数字航空摄影测量测图规范</w:t>
            </w:r>
            <w:r>
              <w:rPr>
                <w:rFonts w:ascii="仿宋_GB2312" w:hAnsi="仿宋_GB2312" w:cs="仿宋_GB2312" w:eastAsia="仿宋_GB2312"/>
                <w:sz w:val="20"/>
                <w:color w:val="000000"/>
              </w:rPr>
              <w:t>-第1部分》（CH/T3007.1-2011）</w:t>
            </w:r>
          </w:p>
          <w:p>
            <w:pPr>
              <w:pStyle w:val="null3"/>
              <w:ind w:firstLine="400"/>
            </w:pPr>
            <w:r>
              <w:rPr>
                <w:rFonts w:ascii="仿宋_GB2312" w:hAnsi="仿宋_GB2312" w:cs="仿宋_GB2312" w:eastAsia="仿宋_GB2312"/>
                <w:sz w:val="20"/>
                <w:color w:val="000000"/>
              </w:rPr>
              <w:t>三、成果交付</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rPr>
              <w:t>永久和临时</w:t>
            </w:r>
            <w:r>
              <w:rPr>
                <w:rFonts w:ascii="仿宋_GB2312" w:hAnsi="仿宋_GB2312" w:cs="仿宋_GB2312" w:eastAsia="仿宋_GB2312"/>
                <w:sz w:val="20"/>
              </w:rPr>
              <w:t>土地勘测定界技术测量及报告书</w:t>
            </w:r>
            <w:r>
              <w:rPr>
                <w:rFonts w:ascii="仿宋_GB2312" w:hAnsi="仿宋_GB2312" w:cs="仿宋_GB2312" w:eastAsia="仿宋_GB2312"/>
                <w:sz w:val="20"/>
              </w:rPr>
              <w:t>8份；电子版2份（U盘及光盘）</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标的名称：铜川市耀州区店子河水库工程用地报批技术服务项目（包2）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pPr>
            <w:r>
              <w:rPr>
                <w:rFonts w:ascii="仿宋_GB2312" w:hAnsi="仿宋_GB2312" w:cs="仿宋_GB2312" w:eastAsia="仿宋_GB2312"/>
                <w:sz w:val="20"/>
                <w:color w:val="000000"/>
              </w:rPr>
              <w:t>一、服务内容：</w:t>
            </w:r>
          </w:p>
          <w:p>
            <w:pPr>
              <w:pStyle w:val="null3"/>
              <w:ind w:firstLine="480"/>
            </w:pPr>
            <w:r>
              <w:rPr>
                <w:rFonts w:ascii="仿宋_GB2312" w:hAnsi="仿宋_GB2312" w:cs="仿宋_GB2312" w:eastAsia="仿宋_GB2312"/>
                <w:sz w:val="20"/>
                <w:color w:val="000000"/>
              </w:rPr>
              <w:t>根据铜川市耀州区店子河水库工程用地报批技术服务项目（包2）建设的内容，结合当地环境特征，按照国家、行业相关技术和标准以及省市区有关规定，以务实工作态度，高质量完成铜川市耀州区店子河水库工程土地复垦方案、踏勘论证报告、项目用地组卷等用地报批全过程技术服务工作。并通过各级审核，取得用地手续。</w:t>
            </w:r>
          </w:p>
          <w:p>
            <w:pPr>
              <w:pStyle w:val="null3"/>
              <w:ind w:firstLine="400"/>
            </w:pPr>
            <w:r>
              <w:rPr>
                <w:rFonts w:ascii="仿宋_GB2312" w:hAnsi="仿宋_GB2312" w:cs="仿宋_GB2312" w:eastAsia="仿宋_GB2312"/>
                <w:sz w:val="20"/>
                <w:color w:val="000000"/>
              </w:rPr>
              <w:t>二、技术要求：</w:t>
            </w:r>
          </w:p>
          <w:p>
            <w:pPr>
              <w:pStyle w:val="null3"/>
              <w:ind w:firstLine="400"/>
            </w:pPr>
            <w:r>
              <w:rPr>
                <w:rFonts w:ascii="仿宋_GB2312" w:hAnsi="仿宋_GB2312" w:cs="仿宋_GB2312" w:eastAsia="仿宋_GB2312"/>
                <w:sz w:val="20"/>
                <w:color w:val="000000"/>
              </w:rPr>
              <w:t>1.市（区）、县（市、区）自然资源主管部门经当地人民政府同意的用地请示文件</w:t>
            </w:r>
            <w:r>
              <w:br/>
            </w:r>
            <w:r>
              <w:rPr>
                <w:rFonts w:ascii="仿宋_GB2312" w:hAnsi="仿宋_GB2312" w:cs="仿宋_GB2312" w:eastAsia="仿宋_GB2312"/>
                <w:sz w:val="20"/>
                <w:color w:val="000000"/>
              </w:rPr>
              <w:t xml:space="preserve"> 　　2.县（市、区）人民政府关于申请项目土地征收的请示</w:t>
            </w:r>
            <w:r>
              <w:br/>
            </w:r>
            <w:r>
              <w:rPr>
                <w:rFonts w:ascii="仿宋_GB2312" w:hAnsi="仿宋_GB2312" w:cs="仿宋_GB2312" w:eastAsia="仿宋_GB2312"/>
                <w:sz w:val="20"/>
                <w:color w:val="000000"/>
              </w:rPr>
              <w:t xml:space="preserve"> 　　3.建设用地审查情况表</w:t>
            </w:r>
            <w:r>
              <w:br/>
            </w:r>
            <w:r>
              <w:rPr>
                <w:rFonts w:ascii="仿宋_GB2312" w:hAnsi="仿宋_GB2312" w:cs="仿宋_GB2312" w:eastAsia="仿宋_GB2312"/>
                <w:sz w:val="20"/>
                <w:color w:val="000000"/>
              </w:rPr>
              <w:t xml:space="preserve"> 　　4.一表一方案（建设用地审查报批地类认定基础数据表、农用地转用方案）</w:t>
            </w:r>
            <w:r>
              <w:br/>
            </w:r>
            <w:r>
              <w:rPr>
                <w:rFonts w:ascii="仿宋_GB2312" w:hAnsi="仿宋_GB2312" w:cs="仿宋_GB2312" w:eastAsia="仿宋_GB2312"/>
                <w:sz w:val="20"/>
                <w:color w:val="000000"/>
              </w:rPr>
              <w:t xml:space="preserve"> 　　5.当地人民政府出具的土地权属情况证明及权属汇总表</w:t>
            </w:r>
            <w:r>
              <w:br/>
            </w:r>
            <w:r>
              <w:rPr>
                <w:rFonts w:ascii="仿宋_GB2312" w:hAnsi="仿宋_GB2312" w:cs="仿宋_GB2312" w:eastAsia="仿宋_GB2312"/>
                <w:sz w:val="20"/>
                <w:color w:val="000000"/>
              </w:rPr>
              <w:t xml:space="preserve"> 　　6.被征地农用社会保障方案审核表及社保费用缴纳凭证</w:t>
            </w:r>
            <w:r>
              <w:br/>
            </w:r>
            <w:r>
              <w:rPr>
                <w:rFonts w:ascii="仿宋_GB2312" w:hAnsi="仿宋_GB2312" w:cs="仿宋_GB2312" w:eastAsia="仿宋_GB2312"/>
                <w:sz w:val="20"/>
                <w:color w:val="000000"/>
              </w:rPr>
              <w:t xml:space="preserve"> 　　7.征地符合国民经济和社会发展规划、国土空间规划和专项规划的证明材料</w:t>
            </w:r>
            <w:r>
              <w:br/>
            </w:r>
            <w:r>
              <w:rPr>
                <w:rFonts w:ascii="仿宋_GB2312" w:hAnsi="仿宋_GB2312" w:cs="仿宋_GB2312" w:eastAsia="仿宋_GB2312"/>
                <w:sz w:val="20"/>
                <w:color w:val="000000"/>
              </w:rPr>
              <w:t xml:space="preserve"> 　　8.建设项目土地复垦方案审核意见和三方协议（矿山用地出具矿山地质环境保护与土地复垦方案公告和三方协议；不涉及的县区自然资源部门出具说明文件）；地质灾害评估报告</w:t>
            </w:r>
            <w:r>
              <w:br/>
            </w:r>
            <w:r>
              <w:rPr>
                <w:rFonts w:ascii="仿宋_GB2312" w:hAnsi="仿宋_GB2312" w:cs="仿宋_GB2312" w:eastAsia="仿宋_GB2312"/>
                <w:sz w:val="20"/>
                <w:color w:val="000000"/>
              </w:rPr>
              <w:t xml:space="preserve"> 　　9.涉及占用耕地的，提供耕地占补平衡挂钩信息确认单；涉及占用林草地的，提供使用林草地审核同意书；涉及占用自然保护区的，提供主管部门意见；涉及占用生态保护红线的，提供省政府出具的符合生态保护红线内允许有限人为活动的认定意见；涉及占用古树名木的，提供相关说明；涉及黄河、渭河干流支流区域的，提供相关部门出具的说明；涉及秦岭保护区域的，提供主管部门说明；涉及使用（收回）国有土地使用权的，提供当地政府收回国有土地使用权决定和协议；</w:t>
            </w:r>
            <w:r>
              <w:br/>
            </w:r>
            <w:r>
              <w:rPr>
                <w:rFonts w:ascii="仿宋_GB2312" w:hAnsi="仿宋_GB2312" w:cs="仿宋_GB2312" w:eastAsia="仿宋_GB2312"/>
                <w:sz w:val="20"/>
                <w:color w:val="000000"/>
              </w:rPr>
              <w:t xml:space="preserve"> 　　10.地类回退情况说明</w:t>
            </w:r>
            <w:r>
              <w:br/>
            </w:r>
            <w:r>
              <w:rPr>
                <w:rFonts w:ascii="仿宋_GB2312" w:hAnsi="仿宋_GB2312" w:cs="仿宋_GB2312" w:eastAsia="仿宋_GB2312"/>
                <w:sz w:val="20"/>
                <w:color w:val="000000"/>
              </w:rPr>
              <w:t xml:space="preserve"> 　　11.不涉及违法的提供市、县自然资源主管部门证明，涉及违法用地的，应附处罚决定书、罚没款缴纳票据以及责任追究文书</w:t>
            </w:r>
            <w:r>
              <w:br/>
            </w:r>
            <w:r>
              <w:rPr>
                <w:rFonts w:ascii="仿宋_GB2312" w:hAnsi="仿宋_GB2312" w:cs="仿宋_GB2312" w:eastAsia="仿宋_GB2312"/>
                <w:sz w:val="20"/>
                <w:color w:val="000000"/>
              </w:rPr>
              <w:t xml:space="preserve"> 　　12.预审批复文件；批准、核准或备案文件；节约专章纳入可研或项目申请的证明材料；初步设计批复文件；环境保护批准文件；压覆矿产资源的说明或复函；</w:t>
            </w:r>
            <w:r>
              <w:br/>
            </w:r>
            <w:r>
              <w:rPr>
                <w:rFonts w:ascii="仿宋_GB2312" w:hAnsi="仿宋_GB2312" w:cs="仿宋_GB2312" w:eastAsia="仿宋_GB2312"/>
                <w:sz w:val="20"/>
                <w:color w:val="000000"/>
              </w:rPr>
              <w:t xml:space="preserve"> 　　13.</w:t>
            </w:r>
            <w:r>
              <w:rPr>
                <w:rFonts w:ascii="仿宋_GB2312" w:hAnsi="仿宋_GB2312" w:cs="仿宋_GB2312" w:eastAsia="仿宋_GB2312"/>
                <w:sz w:val="20"/>
                <w:color w:val="000000"/>
              </w:rPr>
              <w:t>其它报批材料，根据具体情况而定</w:t>
            </w:r>
          </w:p>
          <w:p>
            <w:pPr>
              <w:pStyle w:val="null3"/>
              <w:ind w:firstLine="400"/>
            </w:pPr>
            <w:r>
              <w:rPr>
                <w:rFonts w:ascii="仿宋_GB2312" w:hAnsi="仿宋_GB2312" w:cs="仿宋_GB2312" w:eastAsia="仿宋_GB2312"/>
                <w:sz w:val="20"/>
                <w:color w:val="000000"/>
              </w:rPr>
              <w:t>三、成果交付</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　　</w:t>
            </w:r>
            <w:r>
              <w:rPr>
                <w:rFonts w:ascii="仿宋_GB2312" w:hAnsi="仿宋_GB2312" w:cs="仿宋_GB2312" w:eastAsia="仿宋_GB2312"/>
                <w:sz w:val="20"/>
                <w:color w:val="000000"/>
              </w:rPr>
              <w:t>土地复垦、踏勘论证</w:t>
            </w:r>
            <w:r>
              <w:rPr>
                <w:rFonts w:ascii="仿宋_GB2312" w:hAnsi="仿宋_GB2312" w:cs="仿宋_GB2312" w:eastAsia="仿宋_GB2312"/>
                <w:sz w:val="20"/>
                <w:color w:val="000000"/>
              </w:rPr>
              <w:t>调查报告、项目用地组卷等全过程资料</w:t>
            </w:r>
            <w:r>
              <w:rPr>
                <w:rFonts w:ascii="仿宋_GB2312" w:hAnsi="仿宋_GB2312" w:cs="仿宋_GB2312" w:eastAsia="仿宋_GB2312"/>
                <w:sz w:val="20"/>
                <w:color w:val="000000"/>
              </w:rPr>
              <w:t>8</w:t>
            </w:r>
            <w:r>
              <w:rPr>
                <w:rFonts w:ascii="仿宋_GB2312" w:hAnsi="仿宋_GB2312" w:cs="仿宋_GB2312" w:eastAsia="仿宋_GB2312"/>
                <w:sz w:val="20"/>
                <w:color w:val="000000"/>
              </w:rPr>
              <w:t>份</w:t>
            </w:r>
            <w:r>
              <w:rPr>
                <w:rFonts w:ascii="仿宋_GB2312" w:hAnsi="仿宋_GB2312" w:cs="仿宋_GB2312" w:eastAsia="仿宋_GB2312"/>
                <w:sz w:val="20"/>
                <w:color w:val="000000"/>
              </w:rPr>
              <w:t>.电子版2份（U盘及光盘）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根据评审办法自行配备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根据评审办法自行配备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自合同签订之日起60个工作日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自合同签订之日起170个工作日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由采购人和成交供应商共同对项目进行验收。（1）供应商所提供的最终成果符合国家、省、市现行相关规范标准。 （2）供应商提交的成果需经采购单位审议通过后，方可通过验收。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由采购人和成交供应商共同对项目进行验收。（1）供应商所提供的最终成果符合国家、省、市现行相关规范标准。 （2）供应商提交的成果需经采购单位审议通过后，方可通过验收。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取得临时用地手续后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永久用地报批手续通过区级审核后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通过省级审核，取得用地手续后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①采购人违约责任 A.无正当理由拒收服务成果：采购人无正当理由拒收服务成果的，应偿付合同总价一定比例的违约金，5%。 B.逾期支付款项：采购人逾期支付服务合同款项的，除应及时付足合同款项外，还应以欠款金额为基数，按全国银行间同业拆借中心公布的一年期贷款市场报价利率项供应商支付违约金。逾期满90日的，供应商有权终止合同。 C.提前终止合同：合同签订后，由于采购人原因提前终止合同的，采购人应按已完成的工作量全额支付供应商费用。 ②供应商违约责任 A.擅自中途停止或解除合同：合同签订后，如供应商擅自中途停止或解除合同，应向采购人支付合同总价5%的违约金，并退还采购人已经支付的相关费用，同时赔偿采购人因此造成的直接损失。 B.逾期提供服务成果：供应商不能按时提供服务或逾期提供服务成果的，除应及时提供服务外，应向采购人偿付逾期提供部分服务总额万分之五/天的违约金；逾期超过30日的，采购人有权终止合同，供应商应按合同总价5%向采购人偿付违约金，并全额退还采购人已付服务费及按同期LPR贷款利率计算的利息。 C.服务成果质量不合格：供应商提供的成果质量不合格（如不符合政策要求、数据错误、内容漏项等）的，应负责返工或采取补救措施，直至达到质量要求，产生的费用由供应商承担；若逾期未整改达标或整改后仍不合格的，供应商应对由此造成的全部损失负赔偿责任，并承担相应法律责任，采购人有权酌情扣减合同总价10%-30%的款项。 D.瑕疵履行合同：供应商瑕疵履行采购合同（如成果格式不规范、交付份数不足、技术咨询响应不及时等非根本性违约情形）的，采购人有权要求供应商赔偿合同总价款5%的违约金；若造成相关损失的，供应商需承担全部赔偿责任，且需在采购人规定时限内整改到位。 （2）争议解决方法 ①协商：双方应首先尝试通过友好协商的方式解决争议，明确各自的责任和义务，协商达成一致的解决方案，如继续履行合同、赔偿损失、变更合同条款等。 ②调解：如果双方协商不成，可以寻求第三方调解机构的帮助，如行业协会、商会等。调解机构会根据双方的情况进行调解，促使双方达成和解协议。 ③仲裁：如果合同中约定了仲裁条款，或者双方在事后达成了仲裁协议，可以将纠纷提交给仲裁机构进行仲裁。仲裁裁决具有法律效力，双方必须履行。 ④诉讼：如果协商、调解和仲裁都无法解决争议，可以向有管辖权的人民法院提起诉讼。法院会根据法律规定和双方的证据进行判决，判决结果具有强制执行力。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 ①采购人违约责任 A.无正当理由拒收服务成果：采购人无正当理由拒收服务成果的，应偿付合同总价一定比例的违约金，5%。 B.逾期支付款项：采购人逾期支付服务合同款项的，除应及时付足合同款项外，还应以欠款金额为基数，按全国银行间同业拆借中心公布的一年期贷款市场报价利率项供应商支付违约金。逾期满90日的，供应商有权终止合同。 C.提前终止合同：合同签订后，由于采购人原因提前终止合同的，采购人应按已完成的工作量全额支付供应商费用。 ②供应商违约责任 A.擅自中途停止或解除合同：合同签订后，如供应商擅自中途停止或解除合同，应向采购人支付合同总价5%的违约金，并退还采购人已经支付的相关费用，同时赔偿采购人因此造成的直接损失。 B.逾期提供服务成果：供应商不能按时提供服务或逾期提供服务成果的，除应及时提供服务外，应向采购人偿付逾期提供部分服务总额万分之五/天的违约金；逾期超过30日的，采购人有权终止合同，供应商应按合同总价5%向采购人偿付违约金，并全额退还采购人已付服务费及按同期LPR贷款利率计算的利息。 C.服务成果质量不合格：供应商提供的成果质量不合格（如不符合政策要求、数据错误、内容漏项等）的，应负责返工或采取补救措施，直至达到质量要求，产生的费用由供应商承担；若逾期未整改达标或整改后仍不合格的，供应商应对由此造成的全部损失负赔偿责任，并承担相应法律责任，采购人有权酌情扣减合同总价10%-30%的款项。 D.瑕疵履行合同：供应商瑕疵履行采购合同（如成果格式不规范、交付份数不足、技术咨询响应不及时等非根本性违约情形）的，采购人有权要求供应商赔偿合同总价款5%的违约金；若造成相关损失的，供应商需承担全部赔偿责任，且需在采购人规定时限内整改到位。 （2）争议解决方法 ①协商：双方应首先尝试通过友好协商的方式解决争议，明确各自的责任和义务，协商达成一致的解决方案，如继续履行合同、赔偿损失、变更合同条款等。 ②调解：如果双方协商不成，可以寻求第三方调解机构的帮助，如行业协会、商会等。调解机构会根据双方的情况进行调解，促使双方达成和解协议。 ③仲裁：如果合同中约定了仲裁条款，或者双方在事后达成了仲裁协议，可以将纠纷提交给仲裁机构进行仲裁。仲裁裁决具有法律效力，双方必须履行。 ④诉讼：如果协商、调解和仲裁都无法解决争议，可以向有管辖权的人民法院提起诉讼。法院会根据法律规定和双方的证据进行判决，判决结果具有强制执行力。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供应商符合《政府采购法》第二十二条规定条件的承诺函.docx 参加采购活动前三年内在经营活动中没有重大违法记录的书面声明.docx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供应商符合《政府采购法》第二十二条规定条件的承诺函.docx 参加采购活动前三年内在经营活动中没有重大违法记录的书面声明.docx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残疾人福利性单位声明函 中小企业声明函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供应商应为具有独立承担民事责任能力的法人、其他组织或自然人，提供合法有效的统一社会信用代码营业执照（事业单位提供法人证书，自然人提供身份证）。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供应商须具有行政主管部门颁发的有效的测绘乙级及以上（含乙级）资质。</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测绘工程相关专业中级及以上（含中级）技术职称，有类似项目业绩，且为本公司在职人员（提交响应文件截止时间前半年内任意一个月的社会保障资金（养老保险或医疗保险）缴纳证明或有效期内的劳动合同）。</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具有财务审计资质的单位出具的财务审计报告（至少包括资产负债表和利润表，成立时间至提交响应文件截止时间不足一年的可提供成立后任意时段的资产负债表）或其开标前六个月内基本户开户银行出具的资信证明及基本存款账户开户许可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2025年01月01日至今已缴存的至少一个月的社会保障资金缴存单据或社保机构开具的社会保险参保缴费情况证明，单据或证明上需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提供自2025年01月01日至今已缴存的至少一个月的纳税证明或完税证明，纳税证明或完税证明上应有代收机构或税务机关的公章或业务专用章。依法免税的投标人应提供相关文件证明。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采购公告发布之日起 10 日内的查询截图。</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供应商应为具有独立承担民事责任能力的法人、其他组织或自然人，提供合法有效的统一社会信用代码营业执照（事业单位提供法人证书，自然人提供身份证）。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供应商须具有有效的土地规划机构等级证书乙级及以上（含乙级）资质。</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土地规划类相关专业中级及以上（含中级）技术职称，有类似项目业绩，且为本公司在职人员（提交响应文件截止时间前半年内任意一个月的社会保障资金（养老保险或医疗保险）缴纳证明或有效期内的劳动合同）。</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具有财务审计资质的单位出具的财务审计报告（至少包括资产负债表和利润表，成立时间至提交响应文件截止时间不足一年的可提供成立后任意时段的资产负债表）或其开标前六个月内基本户开户银行出具的资信证明及基本存款账户开户许可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2025年01月01日至今已缴存的至少一个月的社会保障资金缴存单据或社保机构开具的社会保险参保缴费情况证明，单据或证明上需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提供自2025年01月01日至今已缴存的至少一个月的纳税证明或完税证明，纳税证明或完税证明上应有代收机构或税务机关的公章或业务专用章。依法免税的投标人应提供相关文件证明。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采购公告发布之日起 10 日内的查询截图。</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投标文件所有报价未超过采购限额</w:t>
            </w:r>
          </w:p>
        </w:tc>
        <w:tc>
          <w:tcPr>
            <w:tcW w:type="dxa" w:w="1661"/>
          </w:tcPr>
          <w:p>
            <w:pPr>
              <w:pStyle w:val="null3"/>
            </w:pPr>
            <w:r>
              <w:rPr>
                <w:rFonts w:ascii="仿宋_GB2312" w:hAnsi="仿宋_GB2312" w:cs="仿宋_GB2312" w:eastAsia="仿宋_GB2312"/>
              </w:rPr>
              <w:t>标的清单 响应报价表.docx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供应商符合《政府采购法》第二十二条规定条件的承诺函.docx 参加采购活动前三年内在经营活动中没有重大违法记录的书面声明.docx 技术和商务偏离表.docx 合同条款响应.docx 陕西省政府采购供应商拒绝政府采购领域商业贿赂承诺书.docx 其他说明.docx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投标文件所有报价未超过采购限额</w:t>
            </w:r>
          </w:p>
        </w:tc>
        <w:tc>
          <w:tcPr>
            <w:tcW w:type="dxa" w:w="1661"/>
          </w:tcPr>
          <w:p>
            <w:pPr>
              <w:pStyle w:val="null3"/>
            </w:pPr>
            <w:r>
              <w:rPr>
                <w:rFonts w:ascii="仿宋_GB2312" w:hAnsi="仿宋_GB2312" w:cs="仿宋_GB2312" w:eastAsia="仿宋_GB2312"/>
              </w:rPr>
              <w:t>标的清单 响应报价表.docx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供应商符合《政府采购法》第二十二条规定条件的承诺函.docx 参加采购活动前三年内在经营活动中没有重大违法记录的书面声明.docx 技术和商务偏离表.docx 合同条款响应.docx 陕西省政府采购供应商拒绝政府采购领域商业贿赂承诺书.docx 其他说明.docx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1.对本项目的背景解读清晰，需求的理解透彻深入，精准把握永久 / 临时用地勘测定界的技术差异与成果审查要求，工作分析紧密及深刻，对本项目所提出的合理化建设意见及建议合理可行，熟悉掌握相关法律、法规且阐述准确清晰的得 6-8 分； 2.对本项目的背景解读较清晰，需求的理解较透彻深入，项目掌握程度较充分、理解较准确，工作分析程度较深入，对本项目所提出的合理化建设意见及建议较合理，较为掌握相关法律、法规且阐述较具体的得 3-6 分； 3.对本项目的背景解读一般，需求的理解一般，项目掌握程度不完全充分、基本准确，工作分析基本到位，对本项目所提出的合理性建设意见与建议可行性一般，对相关法律、法规有阐述的得 1-3 分； 4.未提供或对本项目的背景解读较差，需求的理解较差，项目掌握程度不充分、基本不准确，工作分析不到位，对本项目所提出的合理性建设意见与建议不合理、不可行，不熟悉相关法律、法规或无阐述的得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1.技术原理阐述全面完整，包含永久 / 临时用地勘测定界、权属调查、面积核算、成果编制等核心环节的技术依据（如引用《建设用地勘测定界规程》《地籍调查规程》等）；服务内容全面覆盖并精准对应采购需求；服务流程清晰有序且效率高，明确团队分工与协作机制；组织实施方案切合实际、具体可行，服务管理措施完善且执行力强；得 10-18 分；2.技术原理阐述较深入、完整；服务内容满足采购需求；服务流程顺畅且效率较高；组织实施方案较切合实际、可行，服务管理措施完善且具有执行性；得 5-10 分；3.技术原理阐述一般、基本完整；服务内容部分满足采购需求；服务流程缺失部分步骤且效率一般；组织实施方案基本切合实际但可行性较差，服务管理措施不完善且执行性较差；得 1-5 分；4.未提供或技术原理阐述差、不完整；服务内容不全面且遗漏对应采购需求；服务流程混乱且效率低下；组织实施方案不切合实际、不可行，服务管理措施缺失或执行性差；得 0 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进度控制及质量控制方案</w:t>
            </w:r>
          </w:p>
        </w:tc>
        <w:tc>
          <w:tcPr>
            <w:tcW w:type="dxa" w:w="2492"/>
          </w:tcPr>
          <w:p>
            <w:pPr>
              <w:pStyle w:val="null3"/>
            </w:pPr>
            <w:r>
              <w:rPr>
                <w:rFonts w:ascii="仿宋_GB2312" w:hAnsi="仿宋_GB2312" w:cs="仿宋_GB2312" w:eastAsia="仿宋_GB2312"/>
              </w:rPr>
              <w:t>提供编制大纲，进度控制及质量控制方案。编制方案科学合理、全面细致，有明确的说明，符合实际需求得11-16分；编制方案较合理全面，有明确的说明，符合实际需求得6-11分；编制方案合理性一般、较全面细致，无明确的说明得0-6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提供突发情况的应急方案。根据方案合理性、可行性进行赋分（0-5分），未提供不得分。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提供服务承诺及合理化建议。根据内容的全面可行，科学详细，内容清晰得2-5分；内容的较全面，较详细得0-2分。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项目后期售后服务</w:t>
            </w:r>
          </w:p>
        </w:tc>
        <w:tc>
          <w:tcPr>
            <w:tcW w:type="dxa" w:w="2492"/>
          </w:tcPr>
          <w:p>
            <w:pPr>
              <w:pStyle w:val="null3"/>
            </w:pPr>
            <w:r>
              <w:rPr>
                <w:rFonts w:ascii="仿宋_GB2312" w:hAnsi="仿宋_GB2312" w:cs="仿宋_GB2312" w:eastAsia="仿宋_GB2312"/>
              </w:rPr>
              <w:t>根据供应商提供的项目后续售后服务计划（包括后续服务计划规范性及针对本项目提供及时、专业化后续服务承诺等内容）进行评审： 1.后续售后服务计划详细可行、合理，能围绕本项目实际需求进行详细描述，针对性强的，得3-6分； 2.后续售后服务计划可行性一般，能联系到本项目实际需要进行描述，有一定针对性的，得1-3分； 3.后续售后服务计划有欠缺，或均为通用性说明，没有针对性的，得1分。 4.供应商未提供或无后期售后服务计划的，得0分。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1.供应商拟派项目负责人（1 人）（2 分）： 具有测绘类相关专业中级及以上工程师证书的得2分。 注：响应文件中提供人员证书扫描件。 特别说明：提供不同专业或同一专业不同等级证书的只记一次且只按最高等级记分。 2.除项目负责人外，供应商为本项目配备的其他技术人员中（8分)： 每提供一名具有测绘类相关专业初级及以上工程师证书的得2分。最高得8分。 注：响应文件中提供上述人员证书扫描件。 特别说明：同一人提供不同专业或同一专业不同等级证书的只记一次且只按最高等级记分。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响应服务方案.docx</w:t>
            </w:r>
          </w:p>
          <w:p>
            <w:pPr>
              <w:pStyle w:val="null3"/>
            </w:pPr>
            <w:r>
              <w:rPr>
                <w:rFonts w:ascii="仿宋_GB2312" w:hAnsi="仿宋_GB2312" w:cs="仿宋_GB2312" w:eastAsia="仿宋_GB2312"/>
              </w:rPr>
              <w:t>拟投入本项目的人员配备情况.docx</w:t>
            </w:r>
          </w:p>
        </w:tc>
      </w:tr>
      <w:tr>
        <w:tc>
          <w:tcPr>
            <w:tcW w:type="dxa" w:w="831"/>
            <w:vMerge/>
          </w:tcPr>
          <w:p/>
        </w:tc>
        <w:tc>
          <w:tcPr>
            <w:tcW w:type="dxa" w:w="1661"/>
          </w:tcPr>
          <w:p>
            <w:pPr>
              <w:pStyle w:val="null3"/>
            </w:pPr>
            <w:r>
              <w:rPr>
                <w:rFonts w:ascii="仿宋_GB2312" w:hAnsi="仿宋_GB2312" w:cs="仿宋_GB2312" w:eastAsia="仿宋_GB2312"/>
              </w:rPr>
              <w:t>拟投入本项目的设备配置</w:t>
            </w:r>
          </w:p>
        </w:tc>
        <w:tc>
          <w:tcPr>
            <w:tcW w:type="dxa" w:w="2492"/>
          </w:tcPr>
          <w:p>
            <w:pPr>
              <w:pStyle w:val="null3"/>
            </w:pPr>
            <w:r>
              <w:rPr>
                <w:rFonts w:ascii="仿宋_GB2312" w:hAnsi="仿宋_GB2312" w:cs="仿宋_GB2312" w:eastAsia="仿宋_GB2312"/>
              </w:rPr>
              <w:t>拟投入的测量设备及检测设备，根据各供应商提供的主要测量和检测设备的种类、数量等进行综合赋分(提供设备购置发票等相关证明材料并加盖公章)， ①所提供的设备满足项目需求的计10分；②所提供的设备品种不足或数量不足的计5分；③所提供的设备不能满足项目实际使用需求的1分；④未提供本项内容的不计分。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自2021年1月1日以来,供应商完成过勘测定界等类似业绩的，每提供一个得4分，最高得12分。 注:响应文件中提供合同扫描件，若合同无法体现评审因素,该业绩不得分。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10（保留 2 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对本项目以及项目范围内背景解读、需求的理解程度、项目掌握程度、工作分析和合理化建议，掌握有关建设用地报批的国家、省、市政策的最新动向及法律、法规程度（包括但不限于用地报批咨询服务或技术服务或报批组卷等）进行综合评审。 1.对本项目的背景解读清晰，需求的理解透彻深入，项目掌握程度充分、理解准确，工作分析紧密及深刻，对本项目所提出的合理化建设意见及建议合理可行，熟悉掌握相关法律、法规且阐述准确清晰的得6-8分； 2.对本项目的背景解读较清晰，需求的理解较透彻深入，项目掌握程度较充分、理解较准确，工作分析程度较深入，对本项目所提出的合理化建设意见及建议较合理，较为掌握相关法律、法规且阐述较具体的得3-6分； 3.对本项目的背景解读一般，需求的理解一般，项目掌握程度不完全充分、基本准确，工作分析基本到位，对本项目所提出的合理性建设意见与建议可行性-般，对相关法律、法规有阐述1-3分； 4.未提供或对本项目的背景解读较差，需求的理解较差，项目掌握程度不充分、基本不准确，工作分析不到位，对本项目所提出的合理性建设意见与建议不合理、不可行不熟悉相关法律、法规或无阐述得0分。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 技术原理阐述全面完整，包含土地复垦、踏勘论证、组卷报批等核心环节的技术依据；服务内容全面覆盖并精准对应采购需求；服务流程清晰有序且效率高，明确团队分工与协作机制；组织实施方案切合实际、具体可行，服务管理措施完善且执行力强；得10-18分；2. 技术原理阐述较深入、完整；服务内容满足采购需求；服务流程顺畅且效率较高；组织实施方案较切合实际、可行，服务管理措施完善且具有执行性；得5-10分；3. 技术原理阐述一般、基本完整；服务内容部分满足采购需求；服务流程缺失部分步骤且效率一般；组织实施方案基本切合实际但可行性较差，服务管理措施不完善且执行性较差；得1-5分；4.4.未提供或技术原理阐述差、不完整；服务内容不全面且遗漏对应采购需求；服务流程混乱且效率低下；组织实施方案不切合实际、不可行，服务管理措施缺失或执行性差；得 0 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进度控制及质量控制方案</w:t>
            </w:r>
          </w:p>
        </w:tc>
        <w:tc>
          <w:tcPr>
            <w:tcW w:type="dxa" w:w="2492"/>
          </w:tcPr>
          <w:p>
            <w:pPr>
              <w:pStyle w:val="null3"/>
            </w:pPr>
            <w:r>
              <w:rPr>
                <w:rFonts w:ascii="仿宋_GB2312" w:hAnsi="仿宋_GB2312" w:cs="仿宋_GB2312" w:eastAsia="仿宋_GB2312"/>
              </w:rPr>
              <w:t>提供编制大纲，进度控制及质量控制方案。编制方案科学合理、全面细致，有明确的说明，符合实际需求得11-16分；编制方案较合理全面，有明确的说明，符合实际需求得6-11分；编制方案合理性一般、较全面细致，无明确的说明得0-6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提供突发情况的应急方案。根据方案合理性、可行性进行赋分（0-5分），未提供不得分。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提供服务承诺及合理化建议。根据内容的全面可行，科学详细，内容清晰得2-5分；内容的较全面，较详细得0-2分。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项目后期售后服务</w:t>
            </w:r>
          </w:p>
        </w:tc>
        <w:tc>
          <w:tcPr>
            <w:tcW w:type="dxa" w:w="2492"/>
          </w:tcPr>
          <w:p>
            <w:pPr>
              <w:pStyle w:val="null3"/>
            </w:pPr>
            <w:r>
              <w:rPr>
                <w:rFonts w:ascii="仿宋_GB2312" w:hAnsi="仿宋_GB2312" w:cs="仿宋_GB2312" w:eastAsia="仿宋_GB2312"/>
              </w:rPr>
              <w:t>根据供应商提供的项目后续售后服务计划（包括后续服务计划规范性及针对本项目提供及时、专业化后续服务承诺等内容）进行评审： 1.后续售后服务计划详细可行、合理，能围绕本项目实际需求进行详细描述，针对性强的，得3-6分； 2.后续售后服务计划可行性一般，能联系到本项目实际需要进行描述，有一定针对性的，得1-3分； 3.后续售后服务计划有欠缺，或均为通用性说明，没有针对性的，得1分。 4.供应商未提供或无后期售后服务计划的，得0分。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1.供应商拟派项目负责人（1 人）（2 分）： 具有规划类相关专业中级及以上工程师证书的得2分。 注：响应文件中提供人员证书扫描件。 特别说明：提供不同专业或同一专业不同等级证书的只记一次且只按最高等级记分。 2.除项目负责人外，供应商为本项目配备的其他技术人员中（8分)： 每提供一名具有规划类相关专业初级及以上工程师证书的得2分。最高得8分。 注：响应文件中提供上述人员证书扫描件。 特别说明：同一人提供不同专业或同一专业不同等级证书的只记一次且只按最高等级记分。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响应服务方案.docx</w:t>
            </w:r>
          </w:p>
          <w:p>
            <w:pPr>
              <w:pStyle w:val="null3"/>
            </w:pPr>
            <w:r>
              <w:rPr>
                <w:rFonts w:ascii="仿宋_GB2312" w:hAnsi="仿宋_GB2312" w:cs="仿宋_GB2312" w:eastAsia="仿宋_GB2312"/>
              </w:rPr>
              <w:t>拟投入本项目的人员配备情况.docx</w:t>
            </w:r>
          </w:p>
        </w:tc>
      </w:tr>
      <w:tr>
        <w:tc>
          <w:tcPr>
            <w:tcW w:type="dxa" w:w="831"/>
            <w:vMerge/>
          </w:tcPr>
          <w:p/>
        </w:tc>
        <w:tc>
          <w:tcPr>
            <w:tcW w:type="dxa" w:w="1661"/>
          </w:tcPr>
          <w:p>
            <w:pPr>
              <w:pStyle w:val="null3"/>
            </w:pPr>
            <w:r>
              <w:rPr>
                <w:rFonts w:ascii="仿宋_GB2312" w:hAnsi="仿宋_GB2312" w:cs="仿宋_GB2312" w:eastAsia="仿宋_GB2312"/>
              </w:rPr>
              <w:t>拟投入本项目的设备配置</w:t>
            </w:r>
          </w:p>
        </w:tc>
        <w:tc>
          <w:tcPr>
            <w:tcW w:type="dxa" w:w="2492"/>
          </w:tcPr>
          <w:p>
            <w:pPr>
              <w:pStyle w:val="null3"/>
            </w:pPr>
            <w:r>
              <w:rPr>
                <w:rFonts w:ascii="仿宋_GB2312" w:hAnsi="仿宋_GB2312" w:cs="仿宋_GB2312" w:eastAsia="仿宋_GB2312"/>
              </w:rPr>
              <w:t>拟投入的测量设备及检测设备，根据各供应商提供的主要测量和检测设备的种类、数量等进行综合赋分(提供设备购置发票等相关证明材料并加盖公章)， ①所提供的设备满足项目需求的计10分；②所提供的设备品种不足或数量不足的计5分；③所提供的设备不能满足项目实际使用需求的1分；④未提供本项内容的不计分。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自2021年1月1日以来,供应商完成过土地复垦或踏勘论证或组卷报批等类似业绩的，每提供一个得4分，最高得12分。注:响应文件中提供合同扫描件，若合同无法体现评审因素,该业绩不得分。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10（保留 2 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详见附件：响应服务方案.docx</w:t>
      </w:r>
    </w:p>
    <w:p>
      <w:pPr>
        <w:pStyle w:val="null3"/>
        <w:ind w:firstLine="960"/>
      </w:pPr>
      <w:r>
        <w:rPr>
          <w:rFonts w:ascii="仿宋_GB2312" w:hAnsi="仿宋_GB2312" w:cs="仿宋_GB2312" w:eastAsia="仿宋_GB2312"/>
        </w:rPr>
        <w:t>详见附件：拟投入本项目的人员配备情况.docx</w:t>
      </w:r>
    </w:p>
    <w:p>
      <w:pPr>
        <w:pStyle w:val="null3"/>
        <w:ind w:firstLine="960"/>
      </w:pPr>
      <w:r>
        <w:rPr>
          <w:rFonts w:ascii="仿宋_GB2312" w:hAnsi="仿宋_GB2312" w:cs="仿宋_GB2312" w:eastAsia="仿宋_GB2312"/>
        </w:rPr>
        <w:t>详见附件：供应商类似业绩情况.docx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详见附件：参加采购活动前三年内在经营活动中没有重大违法记录的书面声明.docx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详见附件：供应商符合《政府采购法》第二十二条规定条件的承诺函.docx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详见附件：响应服务方案.docx</w:t>
      </w:r>
    </w:p>
    <w:p>
      <w:pPr>
        <w:pStyle w:val="null3"/>
        <w:ind w:firstLine="960"/>
      </w:pPr>
      <w:r>
        <w:rPr>
          <w:rFonts w:ascii="仿宋_GB2312" w:hAnsi="仿宋_GB2312" w:cs="仿宋_GB2312" w:eastAsia="仿宋_GB2312"/>
        </w:rPr>
        <w:t>详见附件：拟投入本项目的人员配备情况.docx</w:t>
      </w:r>
    </w:p>
    <w:p>
      <w:pPr>
        <w:pStyle w:val="null3"/>
        <w:ind w:firstLine="960"/>
      </w:pPr>
      <w:r>
        <w:rPr>
          <w:rFonts w:ascii="仿宋_GB2312" w:hAnsi="仿宋_GB2312" w:cs="仿宋_GB2312" w:eastAsia="仿宋_GB2312"/>
        </w:rPr>
        <w:t>详见附件：供应商类似业绩情况.docx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详见附件：参加采购活动前三年内在经营活动中没有重大违法记录的书面声明.docx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详见附件：供应商符合《政府采购法》第二十二条规定条件的承诺函.docx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详见附件：总合同.docx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