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版本号：CGZX-耀州区-2026-00220260122001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关于区医院采购安保工作服务项目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CGZX-耀州区-2026-002</w:t>
      </w:r>
      <w:r>
        <w:br/>
      </w:r>
      <w:r>
        <w:br/>
      </w:r>
      <w:r>
        <w:br/>
      </w:r>
    </w:p>
    <w:p>
      <w:pPr>
        <w:pStyle w:val="null3"/>
        <w:jc w:val="center"/>
        <w:outlineLvl w:val="2"/>
      </w:pPr>
      <w:r>
        <w:rPr>
          <w:rFonts w:ascii="仿宋_GB2312" w:hAnsi="仿宋_GB2312" w:cs="仿宋_GB2312" w:eastAsia="仿宋_GB2312"/>
          <w:sz w:val="28"/>
          <w:b/>
        </w:rPr>
        <w:t>铜川市耀州区人民医院</w:t>
      </w:r>
    </w:p>
    <w:p>
      <w:pPr>
        <w:pStyle w:val="null3"/>
        <w:jc w:val="center"/>
        <w:outlineLvl w:val="2"/>
      </w:pPr>
      <w:r>
        <w:rPr>
          <w:rFonts w:ascii="仿宋_GB2312" w:hAnsi="仿宋_GB2312" w:cs="仿宋_GB2312" w:eastAsia="仿宋_GB2312"/>
          <w:sz w:val="28"/>
          <w:b/>
        </w:rPr>
        <w:t>铜川市耀州区政府采购中心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铜川市耀州区政府采购中心</w:t>
      </w:r>
      <w:r>
        <w:rPr>
          <w:rFonts w:ascii="仿宋_GB2312" w:hAnsi="仿宋_GB2312" w:cs="仿宋_GB2312" w:eastAsia="仿宋_GB2312"/>
        </w:rPr>
        <w:t>（以下简称“代理机构”）受</w:t>
      </w:r>
      <w:r>
        <w:rPr>
          <w:rFonts w:ascii="仿宋_GB2312" w:hAnsi="仿宋_GB2312" w:cs="仿宋_GB2312" w:eastAsia="仿宋_GB2312"/>
        </w:rPr>
        <w:t>铜川市耀州区人民医院</w:t>
      </w:r>
      <w:r>
        <w:rPr>
          <w:rFonts w:ascii="仿宋_GB2312" w:hAnsi="仿宋_GB2312" w:cs="仿宋_GB2312" w:eastAsia="仿宋_GB2312"/>
        </w:rPr>
        <w:t>委托，拟对</w:t>
      </w:r>
      <w:r>
        <w:rPr>
          <w:rFonts w:ascii="仿宋_GB2312" w:hAnsi="仿宋_GB2312" w:cs="仿宋_GB2312" w:eastAsia="仿宋_GB2312"/>
        </w:rPr>
        <w:t>关于区医院采购安保工作服务项目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CGZX-耀州区-2026-002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关于区医院采购安保工作服务项目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关于区医院采购安保工作服务项目，1项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采购包1（关于区医院采购安保工作服务项目）：属于专门面向中小企业采购。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1、资质证书：具备合法有效的《保安服务许可证》；</w:t>
      </w:r>
    </w:p>
    <w:p>
      <w:pPr>
        <w:pStyle w:val="null3"/>
      </w:pPr>
      <w:r>
        <w:rPr>
          <w:rFonts w:ascii="仿宋_GB2312" w:hAnsi="仿宋_GB2312" w:cs="仿宋_GB2312" w:eastAsia="仿宋_GB2312"/>
        </w:rPr>
        <w:t>2、财务状况报告：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p>
      <w:pPr>
        <w:pStyle w:val="null3"/>
      </w:pPr>
      <w:r>
        <w:rPr>
          <w:rFonts w:ascii="仿宋_GB2312" w:hAnsi="仿宋_GB2312" w:cs="仿宋_GB2312" w:eastAsia="仿宋_GB2312"/>
        </w:rPr>
        <w:t>3、税收缴纳证明：提交响应文件截止时间三个月内任意一个月的纳税证明或完税证明，纳税证明或完税证明上应有代收 机构或税务机关的公章或业务专用章(依法免税的供应商应提供相应文件证明)；</w:t>
      </w:r>
    </w:p>
    <w:p>
      <w:pPr>
        <w:pStyle w:val="null3"/>
      </w:pPr>
      <w:r>
        <w:rPr>
          <w:rFonts w:ascii="仿宋_GB2312" w:hAnsi="仿宋_GB2312" w:cs="仿宋_GB2312" w:eastAsia="仿宋_GB2312"/>
        </w:rPr>
        <w:t>4、社会保障缴纳证明：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p>
      <w:pPr>
        <w:pStyle w:val="null3"/>
      </w:pPr>
      <w:r>
        <w:rPr>
          <w:rFonts w:ascii="仿宋_GB2312" w:hAnsi="仿宋_GB2312" w:cs="仿宋_GB2312" w:eastAsia="仿宋_GB2312"/>
        </w:rPr>
        <w:t>5、身份证明：法定代表人(主要负责人)委托代理人参加投标时，应提供法定代表人(主要负责人)委托授权书;法定代表人(主要负责人)亲自参加投标时，应提供法定代表人(主要负责人)身份证明；</w:t>
      </w:r>
    </w:p>
    <w:p>
      <w:pPr>
        <w:pStyle w:val="null3"/>
      </w:pPr>
      <w:r>
        <w:rPr>
          <w:rFonts w:ascii="仿宋_GB2312" w:hAnsi="仿宋_GB2312" w:cs="仿宋_GB2312" w:eastAsia="仿宋_GB2312"/>
        </w:rPr>
        <w:t>6、控股关系证明：单位负责人为同一人或者存在直接控股、管理关系的不同供应商，不得参加同一合同项下的政府采购活动(提供承诺书)；</w:t>
      </w:r>
    </w:p>
    <w:p>
      <w:pPr>
        <w:pStyle w:val="null3"/>
      </w:pPr>
      <w:r>
        <w:rPr>
          <w:rFonts w:ascii="仿宋_GB2312" w:hAnsi="仿宋_GB2312" w:cs="仿宋_GB2312" w:eastAsia="仿宋_GB2312"/>
        </w:rPr>
        <w:t>7、设备和专业技术能力：提供履行合同所必需的设备和专业技术能力的证明材料；</w:t>
      </w:r>
    </w:p>
    <w:p>
      <w:pPr>
        <w:pStyle w:val="null3"/>
      </w:pPr>
      <w:r>
        <w:rPr>
          <w:rFonts w:ascii="仿宋_GB2312" w:hAnsi="仿宋_GB2312" w:cs="仿宋_GB2312" w:eastAsia="仿宋_GB2312"/>
        </w:rPr>
        <w:t>8、信用要求：供应商在“信用中国"网站(www.creditchina.gov.cn)、中国政府采购网(www.ccgp.gov.cn)不存在被列入失信被执行人、重大税收违法案件当事人名单、政府采购严重违法失信行为等不良记录；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铜川市耀州区华原路中段北侧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13629195566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铜川市耀州区政府采购中心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铜川市耀州区步寿路5号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马仕平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0919-6603318 18091924027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铜川市耀州区人民医院</w:t>
      </w:r>
      <w:r>
        <w:rPr>
          <w:rFonts w:ascii="仿宋_GB2312" w:hAnsi="仿宋_GB2312" w:cs="仿宋_GB2312" w:eastAsia="仿宋_GB2312"/>
        </w:rPr>
        <w:t>和</w:t>
      </w:r>
      <w:r>
        <w:rPr>
          <w:rFonts w:ascii="仿宋_GB2312" w:hAnsi="仿宋_GB2312" w:cs="仿宋_GB2312" w:eastAsia="仿宋_GB2312"/>
        </w:rPr>
        <w:t>铜川市耀州区政府采购中心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铜川市耀州区政府采购中心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铜川市耀州区政府采购中心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（一）按国家现行项目实施规范和合同规定的验收评定标准等要求进行验收。（二）验收依据 1、本项目采购文件、响应文件；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铜川市耀州区政府采购中心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联系人：马仕平</w:t>
      </w:r>
    </w:p>
    <w:p>
      <w:pPr>
        <w:pStyle w:val="null3"/>
      </w:pPr>
      <w:r>
        <w:rPr>
          <w:rFonts w:ascii="仿宋_GB2312" w:hAnsi="仿宋_GB2312" w:cs="仿宋_GB2312" w:eastAsia="仿宋_GB2312"/>
        </w:rPr>
        <w:t>联系电话：0919-6603318</w:t>
      </w:r>
    </w:p>
    <w:p>
      <w:pPr>
        <w:pStyle w:val="null3"/>
      </w:pPr>
      <w:r>
        <w:rPr>
          <w:rFonts w:ascii="仿宋_GB2312" w:hAnsi="仿宋_GB2312" w:cs="仿宋_GB2312" w:eastAsia="仿宋_GB2312"/>
        </w:rPr>
        <w:t>地址：铜川市耀州区步寿路5号</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关于区医院采购安保工作服务项目，1项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398,800.00</w:t>
      </w:r>
    </w:p>
    <w:p>
      <w:pPr>
        <w:pStyle w:val="null3"/>
      </w:pPr>
      <w:r>
        <w:rPr>
          <w:rFonts w:ascii="仿宋_GB2312" w:hAnsi="仿宋_GB2312" w:cs="仿宋_GB2312" w:eastAsia="仿宋_GB2312"/>
        </w:rPr>
        <w:t>采购包最高限价（元）: 398,800.00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关于区医院采购安保工作服务项目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标的名称：关于区医院采购安保工作服务项目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00"/>
              </w:rPr>
              <w:t>一、服务内容及要求</w:t>
            </w:r>
          </w:p>
          <w:p>
            <w:pPr>
              <w:pStyle w:val="null3"/>
              <w:ind w:firstLine="480"/>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服务内容：铜川市耀州区人民医院采购安保工作服务项目人员配置数量：</w:t>
            </w:r>
            <w:r>
              <w:rPr>
                <w:rFonts w:ascii="仿宋_GB2312" w:hAnsi="仿宋_GB2312" w:cs="仿宋_GB2312" w:eastAsia="仿宋_GB2312"/>
                <w:sz w:val="24"/>
                <w:color w:val="000000"/>
              </w:rPr>
              <w:t>15人</w:t>
            </w:r>
          </w:p>
          <w:p>
            <w:pPr>
              <w:pStyle w:val="null3"/>
              <w:ind w:firstLine="480"/>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服务要求：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管理目标：在管理合同期内，把我院管理成</w:t>
            </w:r>
            <w:r>
              <w:rPr>
                <w:rFonts w:ascii="仿宋_GB2312" w:hAnsi="仿宋_GB2312" w:cs="仿宋_GB2312" w:eastAsia="仿宋_GB2312"/>
                <w:sz w:val="24"/>
                <w:color w:val="000000"/>
              </w:rPr>
              <w:t>“安全、文明、有秩”的辖区。根据管理合同和有关质量规定，对医院的门卫、秩序等项目进行管理维护。</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保安管理服务范围：</w:t>
            </w:r>
          </w:p>
          <w:p>
            <w:pPr>
              <w:pStyle w:val="null3"/>
              <w:ind w:firstLine="48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门岗</w:t>
            </w:r>
            <w:r>
              <w:rPr>
                <w:rFonts w:ascii="仿宋_GB2312" w:hAnsi="仿宋_GB2312" w:cs="仿宋_GB2312" w:eastAsia="仿宋_GB2312"/>
                <w:sz w:val="24"/>
                <w:color w:val="000000"/>
              </w:rPr>
              <w:t>24小时执勤；</w:t>
            </w:r>
            <w:r>
              <w:rPr>
                <w:rFonts w:ascii="仿宋_GB2312" w:hAnsi="仿宋_GB2312" w:cs="仿宋_GB2312" w:eastAsia="仿宋_GB2312"/>
                <w:sz w:val="24"/>
                <w:color w:val="000000"/>
              </w:rPr>
              <w:t>②</w:t>
            </w:r>
            <w:r>
              <w:rPr>
                <w:rFonts w:ascii="仿宋_GB2312" w:hAnsi="仿宋_GB2312" w:cs="仿宋_GB2312" w:eastAsia="仿宋_GB2312"/>
                <w:sz w:val="24"/>
                <w:color w:val="000000"/>
              </w:rPr>
              <w:t>院内道路、露天停车场</w:t>
            </w:r>
            <w:r>
              <w:rPr>
                <w:rFonts w:ascii="仿宋_GB2312" w:hAnsi="仿宋_GB2312" w:cs="仿宋_GB2312" w:eastAsia="仿宋_GB2312"/>
                <w:sz w:val="24"/>
                <w:color w:val="000000"/>
              </w:rPr>
              <w:t>24小时车辆秩序管理；</w:t>
            </w:r>
            <w:r>
              <w:rPr>
                <w:rFonts w:ascii="仿宋_GB2312" w:hAnsi="仿宋_GB2312" w:cs="仿宋_GB2312" w:eastAsia="仿宋_GB2312"/>
                <w:sz w:val="24"/>
                <w:color w:val="000000"/>
              </w:rPr>
              <w:t>③</w:t>
            </w:r>
            <w:r>
              <w:rPr>
                <w:rFonts w:ascii="仿宋_GB2312" w:hAnsi="仿宋_GB2312" w:cs="仿宋_GB2312" w:eastAsia="仿宋_GB2312"/>
                <w:sz w:val="24"/>
                <w:color w:val="000000"/>
              </w:rPr>
              <w:t>地下停车场</w:t>
            </w:r>
            <w:r>
              <w:rPr>
                <w:rFonts w:ascii="仿宋_GB2312" w:hAnsi="仿宋_GB2312" w:cs="仿宋_GB2312" w:eastAsia="仿宋_GB2312"/>
                <w:sz w:val="24"/>
                <w:color w:val="000000"/>
              </w:rPr>
              <w:t>24小时车辆管理：</w:t>
            </w:r>
            <w:r>
              <w:rPr>
                <w:rFonts w:ascii="仿宋_GB2312" w:hAnsi="仿宋_GB2312" w:cs="仿宋_GB2312" w:eastAsia="仿宋_GB2312"/>
                <w:sz w:val="24"/>
                <w:color w:val="000000"/>
              </w:rPr>
              <w:t>④</w:t>
            </w:r>
            <w:r>
              <w:rPr>
                <w:rFonts w:ascii="仿宋_GB2312" w:hAnsi="仿宋_GB2312" w:cs="仿宋_GB2312" w:eastAsia="仿宋_GB2312"/>
                <w:sz w:val="24"/>
                <w:color w:val="000000"/>
              </w:rPr>
              <w:t>门诊楼、医技楼、住院楼、后勤综合楼、感染楼</w:t>
            </w:r>
            <w:r>
              <w:rPr>
                <w:rFonts w:ascii="仿宋_GB2312" w:hAnsi="仿宋_GB2312" w:cs="仿宋_GB2312" w:eastAsia="仿宋_GB2312"/>
                <w:sz w:val="24"/>
                <w:color w:val="000000"/>
              </w:rPr>
              <w:t>24小时巡逻(含地下室)</w:t>
            </w:r>
            <w:r>
              <w:rPr>
                <w:rFonts w:ascii="仿宋_GB2312" w:hAnsi="仿宋_GB2312" w:cs="仿宋_GB2312" w:eastAsia="仿宋_GB2312"/>
                <w:sz w:val="24"/>
                <w:color w:val="000000"/>
              </w:rPr>
              <w:t>；</w:t>
            </w:r>
            <w:r>
              <w:rPr>
                <w:rFonts w:ascii="仿宋_GB2312" w:hAnsi="仿宋_GB2312" w:cs="仿宋_GB2312" w:eastAsia="仿宋_GB2312"/>
                <w:sz w:val="24"/>
                <w:color w:val="000000"/>
              </w:rPr>
              <w:t>⑤</w:t>
            </w:r>
            <w:r>
              <w:rPr>
                <w:rFonts w:ascii="仿宋_GB2312" w:hAnsi="仿宋_GB2312" w:cs="仿宋_GB2312" w:eastAsia="仿宋_GB2312"/>
                <w:sz w:val="24"/>
                <w:color w:val="000000"/>
              </w:rPr>
              <w:t>院区安保管理，</w:t>
            </w:r>
            <w:r>
              <w:rPr>
                <w:rFonts w:ascii="仿宋_GB2312" w:hAnsi="仿宋_GB2312" w:cs="仿宋_GB2312" w:eastAsia="仿宋_GB2312"/>
                <w:sz w:val="24"/>
                <w:color w:val="000000"/>
              </w:rPr>
              <w:t>24小时执勤：</w:t>
            </w:r>
            <w:r>
              <w:rPr>
                <w:rFonts w:ascii="仿宋_GB2312" w:hAnsi="仿宋_GB2312" w:cs="仿宋_GB2312" w:eastAsia="仿宋_GB2312"/>
                <w:sz w:val="24"/>
                <w:color w:val="000000"/>
              </w:rPr>
              <w:t>⑥</w:t>
            </w:r>
            <w:r>
              <w:rPr>
                <w:rFonts w:ascii="仿宋_GB2312" w:hAnsi="仿宋_GB2312" w:cs="仿宋_GB2312" w:eastAsia="仿宋_GB2312"/>
                <w:sz w:val="24"/>
                <w:color w:val="000000"/>
              </w:rPr>
              <w:t>设施、设备安保管理，</w:t>
            </w:r>
            <w:r>
              <w:rPr>
                <w:rFonts w:ascii="仿宋_GB2312" w:hAnsi="仿宋_GB2312" w:cs="仿宋_GB2312" w:eastAsia="仿宋_GB2312"/>
                <w:sz w:val="24"/>
                <w:color w:val="000000"/>
              </w:rPr>
              <w:t>24小时执勤。</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组织机构框架</w:t>
            </w:r>
            <w:r>
              <w:rPr>
                <w:rFonts w:ascii="仿宋_GB2312" w:hAnsi="仿宋_GB2312" w:cs="仿宋_GB2312" w:eastAsia="仿宋_GB2312"/>
                <w:sz w:val="24"/>
                <w:color w:val="000000"/>
              </w:rPr>
              <w:t>(15人)</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安全保卫主管</w:t>
            </w:r>
            <w:r>
              <w:rPr>
                <w:rFonts w:ascii="仿宋_GB2312" w:hAnsi="仿宋_GB2312" w:cs="仿宋_GB2312" w:eastAsia="仿宋_GB2312"/>
                <w:sz w:val="24"/>
                <w:color w:val="000000"/>
              </w:rPr>
              <w:t>1名(安保人员考勤)</w:t>
            </w:r>
            <w:r>
              <w:rPr>
                <w:rFonts w:ascii="仿宋_GB2312" w:hAnsi="仿宋_GB2312" w:cs="仿宋_GB2312" w:eastAsia="仿宋_GB2312"/>
                <w:sz w:val="24"/>
                <w:color w:val="000000"/>
              </w:rPr>
              <w:t>；</w:t>
            </w:r>
            <w:r>
              <w:rPr>
                <w:rFonts w:ascii="仿宋_GB2312" w:hAnsi="仿宋_GB2312" w:cs="仿宋_GB2312" w:eastAsia="仿宋_GB2312"/>
                <w:sz w:val="24"/>
                <w:color w:val="000000"/>
              </w:rPr>
              <w:t>②</w:t>
            </w:r>
            <w:r>
              <w:rPr>
                <w:rFonts w:ascii="仿宋_GB2312" w:hAnsi="仿宋_GB2312" w:cs="仿宋_GB2312" w:eastAsia="仿宋_GB2312"/>
                <w:sz w:val="24"/>
                <w:color w:val="000000"/>
              </w:rPr>
              <w:t>安全保卫人员</w:t>
            </w:r>
            <w:r>
              <w:rPr>
                <w:rFonts w:ascii="仿宋_GB2312" w:hAnsi="仿宋_GB2312" w:cs="仿宋_GB2312" w:eastAsia="仿宋_GB2312"/>
                <w:sz w:val="24"/>
                <w:color w:val="000000"/>
              </w:rPr>
              <w:t>14名(安全岗位值班员、区域安全巡逻员)。</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管理要求：</w:t>
            </w:r>
          </w:p>
          <w:p>
            <w:pPr>
              <w:pStyle w:val="null3"/>
              <w:ind w:firstLine="48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素质管理。对安保人员实施规范化管理，统一作息、统一出操、统一上岗、统一着装、统一装备。</w:t>
            </w:r>
            <w:r>
              <w:rPr>
                <w:rFonts w:ascii="仿宋_GB2312" w:hAnsi="仿宋_GB2312" w:cs="仿宋_GB2312" w:eastAsia="仿宋_GB2312"/>
                <w:sz w:val="24"/>
                <w:color w:val="000000"/>
              </w:rPr>
              <w:t>②</w:t>
            </w:r>
            <w:r>
              <w:rPr>
                <w:rFonts w:ascii="仿宋_GB2312" w:hAnsi="仿宋_GB2312" w:cs="仿宋_GB2312" w:eastAsia="仿宋_GB2312"/>
                <w:sz w:val="24"/>
                <w:color w:val="000000"/>
              </w:rPr>
              <w:t>思想培养。提高安保人员思想认识，树立服务意识。</w:t>
            </w:r>
            <w:r>
              <w:rPr>
                <w:rFonts w:ascii="仿宋_GB2312" w:hAnsi="仿宋_GB2312" w:cs="仿宋_GB2312" w:eastAsia="仿宋_GB2312"/>
                <w:sz w:val="24"/>
                <w:color w:val="000000"/>
              </w:rPr>
              <w:t>③</w:t>
            </w:r>
            <w:r>
              <w:rPr>
                <w:rFonts w:ascii="仿宋_GB2312" w:hAnsi="仿宋_GB2312" w:cs="仿宋_GB2312" w:eastAsia="仿宋_GB2312"/>
                <w:sz w:val="24"/>
                <w:color w:val="000000"/>
              </w:rPr>
              <w:t>技能培训。定期对安保人员进行专业技能培训，进行评比考评。</w:t>
            </w:r>
            <w:r>
              <w:rPr>
                <w:rFonts w:ascii="仿宋_GB2312" w:hAnsi="仿宋_GB2312" w:cs="仿宋_GB2312" w:eastAsia="仿宋_GB2312"/>
                <w:sz w:val="24"/>
                <w:color w:val="000000"/>
              </w:rPr>
              <w:t>④</w:t>
            </w:r>
            <w:r>
              <w:rPr>
                <w:rFonts w:ascii="仿宋_GB2312" w:hAnsi="仿宋_GB2312" w:cs="仿宋_GB2312" w:eastAsia="仿宋_GB2312"/>
                <w:sz w:val="24"/>
                <w:color w:val="000000"/>
              </w:rPr>
              <w:t>安保人员条件和要求：</w:t>
            </w:r>
            <w:r>
              <w:rPr>
                <w:rFonts w:ascii="仿宋_GB2312" w:hAnsi="仿宋_GB2312" w:cs="仿宋_GB2312" w:eastAsia="仿宋_GB2312"/>
                <w:sz w:val="24"/>
                <w:color w:val="000000"/>
              </w:rPr>
              <w:t>(1)合法公民。(2)身体健康无残疾。(3)夜班人员年龄在40周岁-50周岁，其他人员最高年龄不得超过60周岁，不得低于18周岁)。(4)身高要求165公分以上。(5)学历最低要求初中。</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考核指标：</w:t>
            </w:r>
          </w:p>
          <w:p>
            <w:pPr>
              <w:pStyle w:val="null3"/>
              <w:ind w:firstLine="48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安保人员持证上岗率</w:t>
            </w:r>
            <w:r>
              <w:rPr>
                <w:rFonts w:ascii="仿宋_GB2312" w:hAnsi="仿宋_GB2312" w:cs="仿宋_GB2312" w:eastAsia="仿宋_GB2312"/>
                <w:sz w:val="24"/>
                <w:color w:val="000000"/>
              </w:rPr>
              <w:t>100%</w:t>
            </w:r>
            <w:r>
              <w:rPr>
                <w:rFonts w:ascii="仿宋_GB2312" w:hAnsi="仿宋_GB2312" w:cs="仿宋_GB2312" w:eastAsia="仿宋_GB2312"/>
                <w:sz w:val="24"/>
                <w:color w:val="000000"/>
              </w:rPr>
              <w:t>；</w:t>
            </w:r>
            <w:r>
              <w:rPr>
                <w:rFonts w:ascii="仿宋_GB2312" w:hAnsi="仿宋_GB2312" w:cs="仿宋_GB2312" w:eastAsia="仿宋_GB2312"/>
                <w:sz w:val="24"/>
                <w:color w:val="000000"/>
              </w:rPr>
              <w:t>②</w:t>
            </w:r>
            <w:r>
              <w:rPr>
                <w:rFonts w:ascii="仿宋_GB2312" w:hAnsi="仿宋_GB2312" w:cs="仿宋_GB2312" w:eastAsia="仿宋_GB2312"/>
                <w:sz w:val="24"/>
                <w:color w:val="000000"/>
              </w:rPr>
              <w:t>安保服务达标率</w:t>
            </w:r>
            <w:r>
              <w:rPr>
                <w:rFonts w:ascii="仿宋_GB2312" w:hAnsi="仿宋_GB2312" w:cs="仿宋_GB2312" w:eastAsia="仿宋_GB2312"/>
                <w:sz w:val="24"/>
                <w:color w:val="000000"/>
              </w:rPr>
              <w:t>98%</w:t>
            </w:r>
            <w:r>
              <w:rPr>
                <w:rFonts w:ascii="仿宋_GB2312" w:hAnsi="仿宋_GB2312" w:cs="仿宋_GB2312" w:eastAsia="仿宋_GB2312"/>
                <w:sz w:val="24"/>
                <w:color w:val="000000"/>
              </w:rPr>
              <w:t>；</w:t>
            </w:r>
            <w:r>
              <w:rPr>
                <w:rFonts w:ascii="仿宋_GB2312" w:hAnsi="仿宋_GB2312" w:cs="仿宋_GB2312" w:eastAsia="仿宋_GB2312"/>
                <w:sz w:val="24"/>
                <w:color w:val="000000"/>
              </w:rPr>
              <w:t>③</w:t>
            </w:r>
            <w:r>
              <w:rPr>
                <w:rFonts w:ascii="仿宋_GB2312" w:hAnsi="仿宋_GB2312" w:cs="仿宋_GB2312" w:eastAsia="仿宋_GB2312"/>
                <w:sz w:val="24"/>
                <w:color w:val="000000"/>
              </w:rPr>
              <w:t>车辆停放管理</w:t>
            </w:r>
            <w:r>
              <w:rPr>
                <w:rFonts w:ascii="仿宋_GB2312" w:hAnsi="仿宋_GB2312" w:cs="仿宋_GB2312" w:eastAsia="仿宋_GB2312"/>
                <w:sz w:val="24"/>
                <w:color w:val="000000"/>
              </w:rPr>
              <w:t>(违停发生率3%以下，处理率100%)</w:t>
            </w:r>
            <w:r>
              <w:rPr>
                <w:rFonts w:ascii="仿宋_GB2312" w:hAnsi="仿宋_GB2312" w:cs="仿宋_GB2312" w:eastAsia="仿宋_GB2312"/>
                <w:sz w:val="24"/>
                <w:color w:val="000000"/>
              </w:rPr>
              <w:t>；</w:t>
            </w:r>
            <w:r>
              <w:rPr>
                <w:rFonts w:ascii="仿宋_GB2312" w:hAnsi="仿宋_GB2312" w:cs="仿宋_GB2312" w:eastAsia="仿宋_GB2312"/>
                <w:sz w:val="24"/>
                <w:color w:val="000000"/>
              </w:rPr>
              <w:t>④</w:t>
            </w:r>
            <w:r>
              <w:rPr>
                <w:rFonts w:ascii="仿宋_GB2312" w:hAnsi="仿宋_GB2312" w:cs="仿宋_GB2312" w:eastAsia="仿宋_GB2312"/>
                <w:sz w:val="24"/>
                <w:color w:val="000000"/>
              </w:rPr>
              <w:t>综合服务考核满意率</w:t>
            </w:r>
            <w:r>
              <w:rPr>
                <w:rFonts w:ascii="仿宋_GB2312" w:hAnsi="仿宋_GB2312" w:cs="仿宋_GB2312" w:eastAsia="仿宋_GB2312"/>
                <w:sz w:val="24"/>
                <w:color w:val="000000"/>
              </w:rPr>
              <w:t>95%以上；</w:t>
            </w:r>
            <w:r>
              <w:rPr>
                <w:rFonts w:ascii="仿宋_GB2312" w:hAnsi="仿宋_GB2312" w:cs="仿宋_GB2312" w:eastAsia="仿宋_GB2312"/>
                <w:sz w:val="24"/>
                <w:color w:val="000000"/>
              </w:rPr>
              <w:t>⑤</w:t>
            </w:r>
            <w:r>
              <w:rPr>
                <w:rFonts w:ascii="仿宋_GB2312" w:hAnsi="仿宋_GB2312" w:cs="仿宋_GB2312" w:eastAsia="仿宋_GB2312"/>
                <w:sz w:val="24"/>
                <w:color w:val="000000"/>
              </w:rPr>
              <w:t>安全维护</w:t>
            </w:r>
            <w:r>
              <w:rPr>
                <w:rFonts w:ascii="仿宋_GB2312" w:hAnsi="仿宋_GB2312" w:cs="仿宋_GB2312" w:eastAsia="仿宋_GB2312"/>
                <w:sz w:val="24"/>
                <w:color w:val="000000"/>
              </w:rPr>
              <w:t>(投诉处理率100%)。</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安全保卫人员工作职责：</w:t>
            </w:r>
          </w:p>
          <w:p>
            <w:pPr>
              <w:pStyle w:val="null3"/>
              <w:ind w:firstLine="48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保安主管岗位职责：</w:t>
            </w:r>
            <w:r>
              <w:rPr>
                <w:rFonts w:ascii="仿宋_GB2312" w:hAnsi="仿宋_GB2312" w:cs="仿宋_GB2312" w:eastAsia="仿宋_GB2312"/>
                <w:sz w:val="24"/>
                <w:color w:val="000000"/>
              </w:rPr>
              <w:t>(1)对保安人员落实24小时值班制度的情况进行监督和检查。密切保持保安人员的通信联络，检查各值班岗位人员的执勤情况。(2)制定突发事件的处理程序，建立和健全各项安全保卫制度。(3)每天定时或不定时巡视管辖区域的安全工作，并做好详细记录(人员、区域、时间、结果)。(4)建立正常的巡逻制度并明确重点保卫目标。(5)完善管辖区域的安全防范措施，安全岗位设施、设备器材等使用情况，保证期能在工作中达到预先的使用效果。(6)检查管辖区城内有无妨害公共安全和社会治安秩序的行为，并及时进行纠正，提出整改意见，跟进处理结果，并作好记录、归档。(7)做好安保太员的出助统计，业绩考核等的登记管理工作。(8)定期对安保人员进行职业安全思想道德和各类业务技能的培训工作。(9)做好各种内外文件，通信录资料的整理归档。</w:t>
            </w:r>
          </w:p>
          <w:p>
            <w:pPr>
              <w:pStyle w:val="null3"/>
              <w:ind w:firstLine="480"/>
              <w:jc w:val="left"/>
            </w:pPr>
            <w:r>
              <w:rPr>
                <w:rFonts w:ascii="仿宋_GB2312" w:hAnsi="仿宋_GB2312" w:cs="仿宋_GB2312" w:eastAsia="仿宋_GB2312"/>
                <w:sz w:val="24"/>
                <w:color w:val="000000"/>
              </w:rPr>
              <w:t>②</w:t>
            </w:r>
            <w:r>
              <w:rPr>
                <w:rFonts w:ascii="仿宋_GB2312" w:hAnsi="仿宋_GB2312" w:cs="仿宋_GB2312" w:eastAsia="仿宋_GB2312"/>
                <w:sz w:val="24"/>
                <w:color w:val="000000"/>
              </w:rPr>
              <w:t>门岗保卫人员岗位职责：</w:t>
            </w:r>
            <w:r>
              <w:rPr>
                <w:rFonts w:ascii="仿宋_GB2312" w:hAnsi="仿宋_GB2312" w:cs="仿宋_GB2312" w:eastAsia="仿宋_GB2312"/>
                <w:sz w:val="24"/>
                <w:color w:val="000000"/>
              </w:rPr>
              <w:t>(1)按时交接班，接班人员未到时，交班人员不得自行离开岗位。(2)严格执行各项制度，着装整洁，保持良好的精神状态。(3)严格禁止宠物进医院。(4)管理阻止酗酒闹事者、收破烂、乞讨者、广告推销者进入医院。(5)加强自身修养，坚持文明值班，礼貌待人，遇事冷静。对不服从管理的人员，应耐心解释、说明，不得用不文明的方式对待任何人。(6)坚守岗位，不得擅离职守，不做与工作无关的事情，时刻注意进出医院的人员及值班室周围的情况，不允许无关人员进入值班室闲坐、聊天。(7)保持值班室内外清洁，垃圾及时清扫，交班前整理好室内物品。(8)认真记录值班室发生和处理的各种情况，及时报告有关领导，交班时，将重要事项向交班人交代清楚。</w:t>
            </w:r>
          </w:p>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安全巡逻人员岗位职责：</w:t>
            </w:r>
            <w:r>
              <w:rPr>
                <w:rFonts w:ascii="仿宋_GB2312" w:hAnsi="仿宋_GB2312" w:cs="仿宋_GB2312" w:eastAsia="仿宋_GB2312"/>
                <w:sz w:val="24"/>
                <w:color w:val="000000"/>
              </w:rPr>
              <w:t>(1)服装整齐，文明礼貌执勤，不得脱岗，不得睡觉、看书等与工作无关的事情。(2)保持大门口畅通，院内车辆停放整齐，保持院内消防通道畅通。(3)高峰时段协助维持收费、化、药房、体检等窗口的秩序。(4)对院内重点部位勤巡、勤看，发现异常情况要及时报告保卫科或“110”指挥中心。(5)在值班巡查过程中发现火灾隐患及火情要及时主动给予处理，并及时报告消防控制室或“119”消防中心。(6)施行双人巡逻制度，确保安全有效。</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各项管理制度：</w:t>
            </w:r>
          </w:p>
          <w:p>
            <w:pPr>
              <w:pStyle w:val="null3"/>
              <w:ind w:firstLine="480"/>
              <w:jc w:val="left"/>
            </w:pPr>
            <w:r>
              <w:rPr>
                <w:rFonts w:ascii="仿宋_GB2312" w:hAnsi="仿宋_GB2312" w:cs="仿宋_GB2312" w:eastAsia="仿宋_GB2312"/>
                <w:sz w:val="24"/>
                <w:color w:val="000000"/>
              </w:rPr>
              <w:t>①</w:t>
            </w:r>
            <w:r>
              <w:rPr>
                <w:rFonts w:ascii="仿宋_GB2312" w:hAnsi="仿宋_GB2312" w:cs="仿宋_GB2312" w:eastAsia="仿宋_GB2312"/>
                <w:sz w:val="24"/>
                <w:color w:val="000000"/>
              </w:rPr>
              <w:t>交接班制度：</w:t>
            </w:r>
            <w:r>
              <w:rPr>
                <w:rFonts w:ascii="仿宋_GB2312" w:hAnsi="仿宋_GB2312" w:cs="仿宋_GB2312" w:eastAsia="仿宋_GB2312"/>
                <w:sz w:val="24"/>
                <w:color w:val="000000"/>
              </w:rPr>
              <w:t>(1)按时交接班，接班人应提前十分钟到达岗位，接班人员未到时，当班人员不得提前离岗。(2)交班必须做好三清：本班情况清、交接的问题清、物品及器械清。(3)当班人员发现的问题要及时处理，不能移交给下班的事情要继续在岗处理完，接班人协助完成。(4)交接时要做好记录并签字。</w:t>
            </w:r>
          </w:p>
          <w:p>
            <w:pPr>
              <w:pStyle w:val="null3"/>
              <w:ind w:firstLine="480"/>
              <w:jc w:val="both"/>
            </w:pPr>
            <w:r>
              <w:rPr>
                <w:rFonts w:ascii="仿宋_GB2312" w:hAnsi="仿宋_GB2312" w:cs="仿宋_GB2312" w:eastAsia="仿宋_GB2312"/>
                <w:sz w:val="24"/>
                <w:color w:val="000000"/>
              </w:rPr>
              <w:t>②</w:t>
            </w:r>
            <w:r>
              <w:rPr>
                <w:rFonts w:ascii="仿宋_GB2312" w:hAnsi="仿宋_GB2312" w:cs="仿宋_GB2312" w:eastAsia="仿宋_GB2312"/>
                <w:sz w:val="24"/>
                <w:color w:val="000000"/>
              </w:rPr>
              <w:t>仪容仪表规定：</w:t>
            </w:r>
            <w:r>
              <w:rPr>
                <w:rFonts w:ascii="仿宋_GB2312" w:hAnsi="仿宋_GB2312" w:cs="仿宋_GB2312" w:eastAsia="仿宋_GB2312"/>
                <w:sz w:val="24"/>
                <w:color w:val="000000"/>
              </w:rPr>
              <w:t>(1)统一着装，要求举止文明、大方、得体，精神抖擞。(2)不得外挂饰物，禁止皱衣、敞、挽袖、卷裤腿、戴歪帽、穿鞋或赤脚。上场前整理着装，检查着装是否整齐规范。(3)不留长发、蓄胡子、留长指甲，头发不得露于帽檐外。(4)姿态良好，挺胸抬头，不得弯腰驼背、东倒西歪、伸懒腰，不背手、叉腰或将手插入口袋中，执勤时不准吸烟、吃东西，不勾肩搭背。(5)做到“微笑服务”,待客友善、热，使用文明用语。</w:t>
            </w:r>
          </w:p>
          <w:p>
            <w:pPr>
              <w:pStyle w:val="null3"/>
              <w:ind w:firstLine="48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安全巡逻制度：</w:t>
            </w:r>
            <w:r>
              <w:rPr>
                <w:rFonts w:ascii="仿宋_GB2312" w:hAnsi="仿宋_GB2312" w:cs="仿宋_GB2312" w:eastAsia="仿宋_GB2312"/>
                <w:sz w:val="24"/>
                <w:color w:val="000000"/>
              </w:rPr>
              <w:t>(1)坚持24小时巡逻制度，白班巡逻全院不少于四次，夜班巡逻次数不少于六次。(2)巡逻医院内每一个角落，检查科室门窗是否完好，有无安全隐患，做到随时发现，随时解决，重要情况及时报告。(3)巡逻时注意院内非机动车的摆放，引导非机动车到指定地点有序停放。(4)医疗绿色通道、消防安全通道随时保持畅通，任何车辆不得占用、堵塞。(5)发现犯罪分子作案要尽力阻止，发生事故尽力抢救，并及时报告处理。(6)重点巡查门诊、住院部、收费处、药品、供氧站、配电站、物资库等重要部门，对班内发生和发现的问题，及时处理，认真记录。随时接受院领导和公安机关的检查，并配合其工作。(7)考核管理：1.除安保公司对内部员工考核外，由保卫科对安保人员进行打分，打分的情况做为安保公司对该安保员考核的依据。2.保卫科每日在全院各科巡回督查，发现问题整改落实并做好记录，及时与安保公司负责人进行沟通。</w:t>
            </w:r>
          </w:p>
          <w:p>
            <w:pPr>
              <w:pStyle w:val="null3"/>
              <w:ind w:firstLine="480"/>
              <w:jc w:val="left"/>
            </w:pPr>
            <w:r>
              <w:rPr>
                <w:rFonts w:ascii="仿宋_GB2312" w:hAnsi="仿宋_GB2312" w:cs="仿宋_GB2312" w:eastAsia="仿宋_GB2312"/>
                <w:sz w:val="24"/>
                <w:color w:val="000000"/>
              </w:rPr>
              <w:t>二、安全保卫人员工作状况考核细则及处置办法</w:t>
            </w:r>
          </w:p>
          <w:p>
            <w:pPr>
              <w:pStyle w:val="null3"/>
              <w:ind w:firstLine="480"/>
              <w:jc w:val="left"/>
            </w:pPr>
            <w:r>
              <w:rPr>
                <w:rFonts w:ascii="仿宋_GB2312" w:hAnsi="仿宋_GB2312" w:cs="仿宋_GB2312" w:eastAsia="仿宋_GB2312"/>
                <w:sz w:val="24"/>
                <w:color w:val="000000"/>
              </w:rPr>
              <w:t>1、安全保卫人员工作状况考核细则被考核人：</w:t>
            </w:r>
          </w:p>
          <w:tbl>
            <w:tblPr>
              <w:tblInd w:type="dxa" w:w="195"/>
              <w:tblBorders>
                <w:top w:val="none" w:color="000000" w:sz="4"/>
                <w:left w:val="none" w:color="000000" w:sz="4"/>
                <w:bottom w:val="none" w:color="000000" w:sz="4"/>
                <w:right w:val="none" w:color="000000" w:sz="4"/>
                <w:insideH w:val="none"/>
                <w:insideV w:val="none"/>
              </w:tblBorders>
            </w:tblPr>
            <w:tblGrid>
              <w:gridCol w:w="515"/>
              <w:gridCol w:w="312"/>
              <w:gridCol w:w="657"/>
              <w:gridCol w:w="322"/>
              <w:gridCol w:w="1012"/>
              <w:gridCol w:w="358"/>
            </w:tblGrid>
            <w:tr>
              <w:tc>
                <w:tcPr>
                  <w:tcW w:type="dxa" w:w="5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考核项目</w:t>
                  </w:r>
                </w:p>
              </w:tc>
              <w:tc>
                <w:tcPr>
                  <w:tcW w:type="dxa" w:w="3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序号</w:t>
                  </w:r>
                </w:p>
              </w:tc>
              <w:tc>
                <w:tcPr>
                  <w:tcW w:type="dxa" w:w="6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考核细则</w:t>
                  </w:r>
                </w:p>
              </w:tc>
              <w:tc>
                <w:tcPr>
                  <w:tcW w:type="dxa" w:w="3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分值</w:t>
                  </w:r>
                </w:p>
              </w:tc>
              <w:tc>
                <w:tcPr>
                  <w:tcW w:type="dxa" w:w="10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评分办法</w:t>
                  </w:r>
                </w:p>
              </w:tc>
              <w:tc>
                <w:tcPr>
                  <w:tcW w:type="dxa" w:w="35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得分</w:t>
                  </w:r>
                </w:p>
              </w:tc>
            </w:tr>
            <w:tr>
              <w:tc>
                <w:tcPr>
                  <w:tcW w:type="dxa" w:w="51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工作态度</w:t>
                  </w:r>
                </w:p>
                <w:p>
                  <w:pPr>
                    <w:pStyle w:val="null3"/>
                    <w:jc w:val="center"/>
                  </w:pPr>
                  <w:r>
                    <w:rPr>
                      <w:rFonts w:ascii="仿宋_GB2312" w:hAnsi="仿宋_GB2312" w:cs="仿宋_GB2312" w:eastAsia="仿宋_GB2312"/>
                      <w:sz w:val="24"/>
                      <w:color w:val="000000"/>
                    </w:rPr>
                    <w:t>(30分)</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自觉遵守劳动纪律，服从管理</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不遵守劳动纪律，不服从管理：</w:t>
                  </w:r>
                  <w:r>
                    <w:rPr>
                      <w:rFonts w:ascii="仿宋_GB2312" w:hAnsi="仿宋_GB2312" w:cs="仿宋_GB2312" w:eastAsia="仿宋_GB2312"/>
                      <w:sz w:val="24"/>
                      <w:color w:val="000000"/>
                    </w:rPr>
                    <w:t>-0.5分/次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2</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按时上下班，准时上岗执勤</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未按时上下班：</w:t>
                  </w:r>
                  <w:r>
                    <w:rPr>
                      <w:rFonts w:ascii="仿宋_GB2312" w:hAnsi="仿宋_GB2312" w:cs="仿宋_GB2312" w:eastAsia="仿宋_GB2312"/>
                      <w:sz w:val="24"/>
                      <w:color w:val="000000"/>
                    </w:rPr>
                    <w:t>-0.5分/次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3</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不脱岗，睡岗</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脱岗、睡岗：</w:t>
                  </w:r>
                  <w:r>
                    <w:rPr>
                      <w:rFonts w:ascii="仿宋_GB2312" w:hAnsi="仿宋_GB2312" w:cs="仿宋_GB2312" w:eastAsia="仿宋_GB2312"/>
                      <w:sz w:val="24"/>
                      <w:color w:val="000000"/>
                    </w:rPr>
                    <w:t>-0.5分/次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4</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按规定着装上岗</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未着工装上岗：</w:t>
                  </w:r>
                  <w:r>
                    <w:rPr>
                      <w:rFonts w:ascii="仿宋_GB2312" w:hAnsi="仿宋_GB2312" w:cs="仿宋_GB2312" w:eastAsia="仿宋_GB2312"/>
                      <w:sz w:val="24"/>
                      <w:color w:val="000000"/>
                    </w:rPr>
                    <w:t>-0.5分/次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仪容仪表整洁、得体</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仪容仪表不得体、邋遢：</w:t>
                  </w:r>
                  <w:r>
                    <w:rPr>
                      <w:rFonts w:ascii="仿宋_GB2312" w:hAnsi="仿宋_GB2312" w:cs="仿宋_GB2312" w:eastAsia="仿宋_GB2312"/>
                      <w:sz w:val="24"/>
                      <w:color w:val="000000"/>
                    </w:rPr>
                    <w:t>-0.5分/次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6</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文明服务，有礼有节</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出现不文明、不礼貌的言行：</w:t>
                  </w:r>
                </w:p>
                <w:p>
                  <w:pPr>
                    <w:pStyle w:val="null3"/>
                    <w:ind w:firstLine="480"/>
                    <w:jc w:val="center"/>
                  </w:pPr>
                  <w:r>
                    <w:rPr>
                      <w:rFonts w:ascii="仿宋_GB2312" w:hAnsi="仿宋_GB2312" w:cs="仿宋_GB2312" w:eastAsia="仿宋_GB2312"/>
                      <w:sz w:val="24"/>
                      <w:color w:val="000000"/>
                    </w:rPr>
                    <w:t>-0.5分/次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工作能力</w:t>
                  </w:r>
                </w:p>
                <w:p>
                  <w:pPr>
                    <w:pStyle w:val="null3"/>
                    <w:jc w:val="center"/>
                  </w:pPr>
                  <w:r>
                    <w:rPr>
                      <w:rFonts w:ascii="仿宋_GB2312" w:hAnsi="仿宋_GB2312" w:cs="仿宋_GB2312" w:eastAsia="仿宋_GB2312"/>
                      <w:sz w:val="24"/>
                      <w:color w:val="000000"/>
                    </w:rPr>
                    <w:t>(70分)</w:t>
                  </w: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7</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按时交接班，并填写交接记录</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未按时交接班，老填写交接记录：</w:t>
                  </w:r>
                  <w:r>
                    <w:rPr>
                      <w:rFonts w:ascii="仿宋_GB2312" w:hAnsi="仿宋_GB2312" w:cs="仿宋_GB2312" w:eastAsia="仿宋_GB2312"/>
                      <w:sz w:val="24"/>
                      <w:color w:val="000000"/>
                    </w:rPr>
                    <w:t>-0.1分/次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8</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熟悉院区结构、布局</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5</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不熟悉园区结构、布局：</w:t>
                  </w:r>
                  <w:r>
                    <w:rPr>
                      <w:rFonts w:ascii="仿宋_GB2312" w:hAnsi="仿宋_GB2312" w:cs="仿宋_GB2312" w:eastAsia="仿宋_GB2312"/>
                      <w:sz w:val="24"/>
                      <w:color w:val="000000"/>
                    </w:rPr>
                    <w:t>-1分/次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9</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能熟悉突发事件处理流程、报警电话</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不熟悉突发事件处理流程、报警电话：</w:t>
                  </w:r>
                  <w:r>
                    <w:rPr>
                      <w:rFonts w:ascii="仿宋_GB2312" w:hAnsi="仿宋_GB2312" w:cs="仿宋_GB2312" w:eastAsia="仿宋_GB2312"/>
                      <w:sz w:val="24"/>
                      <w:color w:val="000000"/>
                    </w:rPr>
                    <w:t>-1分/次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熟练使用安保设备</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不会使用安保设备：</w:t>
                  </w:r>
                  <w:r>
                    <w:rPr>
                      <w:rFonts w:ascii="仿宋_GB2312" w:hAnsi="仿宋_GB2312" w:cs="仿宋_GB2312" w:eastAsia="仿宋_GB2312"/>
                      <w:sz w:val="24"/>
                      <w:color w:val="000000"/>
                    </w:rPr>
                    <w:t>-1分/次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11</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熟练掌握消防设施设备使用方法</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未掌握消防设施设备使用方法：</w:t>
                  </w:r>
                  <w:r>
                    <w:rPr>
                      <w:rFonts w:ascii="仿宋_GB2312" w:hAnsi="仿宋_GB2312" w:cs="仿宋_GB2312" w:eastAsia="仿宋_GB2312"/>
                      <w:sz w:val="24"/>
                      <w:color w:val="000000"/>
                    </w:rPr>
                    <w:t>-1分/次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12</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能够正确引导车辆有序停放</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未正确引导车辆有序停放：</w:t>
                  </w:r>
                  <w:r>
                    <w:rPr>
                      <w:rFonts w:ascii="仿宋_GB2312" w:hAnsi="仿宋_GB2312" w:cs="仿宋_GB2312" w:eastAsia="仿宋_GB2312"/>
                      <w:sz w:val="24"/>
                      <w:color w:val="000000"/>
                    </w:rPr>
                    <w:t>-1分/次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13</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遇到突发事件，能够及时进行现场秩序维护</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未及时维护现场秩序：</w:t>
                  </w:r>
                  <w:r>
                    <w:rPr>
                      <w:rFonts w:ascii="仿宋_GB2312" w:hAnsi="仿宋_GB2312" w:cs="仿宋_GB2312" w:eastAsia="仿宋_GB2312"/>
                      <w:sz w:val="24"/>
                      <w:color w:val="000000"/>
                    </w:rPr>
                    <w:t>-1分/次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vMerge/>
                  <w:tcBorders>
                    <w:top w:val="none" w:color="000000" w:sz="4"/>
                    <w:left w:val="single" w:color="000000" w:sz="4"/>
                    <w:bottom w:val="none" w:color="000000" w:sz="4"/>
                    <w:right w:val="single" w:color="000000" w:sz="4"/>
                  </w:tcBorders>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14</w:t>
                  </w: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每日巡查责任区域</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未做到每日巡查责任区域</w:t>
                  </w:r>
                  <w:r>
                    <w:rPr>
                      <w:rFonts w:ascii="仿宋_GB2312" w:hAnsi="仿宋_GB2312" w:cs="仿宋_GB2312" w:eastAsia="仿宋_GB2312"/>
                      <w:sz w:val="24"/>
                      <w:color w:val="000000"/>
                    </w:rPr>
                    <w:t>-1分/次</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总分</w:t>
                  </w:r>
                </w:p>
              </w:tc>
              <w:tc>
                <w:tcPr>
                  <w:tcW w:type="dxa" w:w="3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100</w:t>
                  </w:r>
                </w:p>
              </w:tc>
              <w:tc>
                <w:tcPr>
                  <w:tcW w:type="dxa" w:w="10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分数</w:t>
                  </w:r>
                </w:p>
              </w:tc>
              <w:tc>
                <w:tcPr>
                  <w:tcW w:type="dxa" w:w="35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p>
              </w:tc>
            </w:tr>
            <w:tr>
              <w:tc>
                <w:tcPr>
                  <w:tcW w:type="dxa" w:w="3176"/>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color w:val="000000"/>
                    </w:rPr>
                    <w:t>发生问题未及时妥善处理被投诉，出现一次扣考评总分</w:t>
                  </w:r>
                  <w:r>
                    <w:rPr>
                      <w:rFonts w:ascii="仿宋_GB2312" w:hAnsi="仿宋_GB2312" w:cs="仿宋_GB2312" w:eastAsia="仿宋_GB2312"/>
                      <w:sz w:val="24"/>
                      <w:color w:val="000000"/>
                    </w:rPr>
                    <w:t>5分</w:t>
                  </w:r>
                </w:p>
              </w:tc>
            </w:tr>
          </w:tbl>
          <w:p>
            <w:pPr>
              <w:pStyle w:val="null3"/>
              <w:ind w:firstLine="480"/>
              <w:jc w:val="left"/>
            </w:pPr>
            <w:r>
              <w:rPr>
                <w:rFonts w:ascii="仿宋_GB2312" w:hAnsi="仿宋_GB2312" w:cs="仿宋_GB2312" w:eastAsia="仿宋_GB2312"/>
                <w:sz w:val="24"/>
                <w:color w:val="000000"/>
              </w:rPr>
              <w:t>考核人：</w:t>
            </w:r>
            <w:r>
              <w:rPr>
                <w:rFonts w:ascii="仿宋_GB2312" w:hAnsi="仿宋_GB2312" w:cs="仿宋_GB2312" w:eastAsia="仿宋_GB2312"/>
                <w:sz w:val="21"/>
                <w:color w:val="000000"/>
              </w:rPr>
              <w:t xml:space="preserve">                                         </w:t>
            </w:r>
            <w:r>
              <w:rPr>
                <w:rFonts w:ascii="仿宋_GB2312" w:hAnsi="仿宋_GB2312" w:cs="仿宋_GB2312" w:eastAsia="仿宋_GB2312"/>
                <w:sz w:val="24"/>
                <w:color w:val="000000"/>
              </w:rPr>
              <w:t>考核日期：</w:t>
            </w:r>
          </w:p>
          <w:p>
            <w:pPr>
              <w:pStyle w:val="null3"/>
            </w:pPr>
            <w:r>
              <w:rPr>
                <w:rFonts w:ascii="仿宋_GB2312" w:hAnsi="仿宋_GB2312" w:cs="仿宋_GB2312" w:eastAsia="仿宋_GB2312"/>
                <w:sz w:val="24"/>
                <w:color w:val="000000"/>
              </w:rPr>
              <w:t>2、处置办法：扣分达到五分，予以警告整改，扣分达到十分，督办整改，罚款二十元，扣分达到四十分，视为不合格，要求安保公司予以辞退。</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15人，其中安全保卫主管1名，安全保卫人员14名(安全岗位值班员、区域安全巡逻员)。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供应商根据服务要求自主填写，要有能保证项目正常履行所需的设备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自合同签订之日起一年。本项目采取一次招标三年沿用，实行一年一考核一签合同的方式。</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采购人指定的服务地点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（一）按国家现行项目实施规范和合同规定的验收评定标准等要求进行验收。（二）验收依据 1、本项目采购文件、响应文件； 2、本项目合同及附件文本； 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次月结清上月服务费，甲方收到乙方税务发票后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履行本合同引起的或与本合同有关的争议，甲、乙双方应首先通过友好协商解决，如果协商不能解决争议，则采取以下两种方式解决争议：（1）向甲方所在地有管辖权的人民法院提起诉讼；（2）向铜川仲裁委员会按其仲裁规则依法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1、本项目采取一次招标三年沿用，实行一年一考核一签合同的方式，项目费用按照成交金额/年计算。 2、报价要求：报价组成包括但不限于服务费、管理费、培训费、税费等一切费用，其中人员工资不得低于陕西省《关于调整最低工资标准的通知》（陕人社发〔2026〕4号）规定。各供应商投标时应充分考虑此条款，作出合理报价，以免影响成交后的合同履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具备合法有效的《保安服务许可证》；</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提交2024年度经审计的财务会计报告(至少包括审计报告、资产负债表、现金流量表和利润表，成立时间至提交响应文件截止时间不足一年的，可提供成立后至提交文件前最近一个月的资产负债表)；②提交响应文件截止时间三个月内其基本账户开户银行出具的资信证明；备注：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提交响应文件截止时间三个月内任意一个月的纳税证明或完税证明，纳税证明或完税证明上应有代收 机构或税务机关的公章或业务专用章(依法免税的供应商应提供相应文件证明)；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社会保障缴纳证明</w:t>
            </w:r>
          </w:p>
        </w:tc>
        <w:tc>
          <w:tcPr>
            <w:tcW w:type="dxa" w:w="3322"/>
          </w:tcPr>
          <w:p>
            <w:pPr>
              <w:pStyle w:val="null3"/>
            </w:pPr>
            <w:r>
              <w:rPr>
                <w:rFonts w:ascii="仿宋_GB2312" w:hAnsi="仿宋_GB2312" w:cs="仿宋_GB2312" w:eastAsia="仿宋_GB2312"/>
              </w:rPr>
              <w:t>提交响应文件截止时间三个月内任意一个月的社会保障资金缴存单据或社保机构开具的社会保险参保缴费情况证明，单据或证明上应有社保机构或代收机构的公章或业务专用章。(依法不需要缴纳社会保障资金的供应商应提供相应文件证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设备和专业技术能力</w:t>
            </w:r>
          </w:p>
        </w:tc>
        <w:tc>
          <w:tcPr>
            <w:tcW w:type="dxa" w:w="3322"/>
          </w:tcPr>
          <w:p>
            <w:pPr>
              <w:pStyle w:val="null3"/>
            </w:pPr>
            <w:r>
              <w:rPr>
                <w:rFonts w:ascii="仿宋_GB2312" w:hAnsi="仿宋_GB2312" w:cs="仿宋_GB2312" w:eastAsia="仿宋_GB2312"/>
              </w:rPr>
              <w:t>提供履行合同所必需的设备和专业技术能力的证明材料；</w:t>
            </w:r>
          </w:p>
        </w:tc>
        <w:tc>
          <w:tcPr>
            <w:tcW w:type="dxa" w:w="1661"/>
          </w:tcPr>
          <w:p>
            <w:pPr>
              <w:pStyle w:val="null3"/>
            </w:pPr>
            <w:r>
              <w:rPr>
                <w:rFonts w:ascii="仿宋_GB2312" w:hAnsi="仿宋_GB2312" w:cs="仿宋_GB2312" w:eastAsia="仿宋_GB2312"/>
              </w:rPr>
              <w:t>投标人应提交的相关资格证明材料.docx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供应商在“信用中国"网站(www.creditchina.gov.cn)、中国政府采购网(www.ccgp.gov.cn)不存在被列入失信被执行人、重大税收违法案件当事人名单、政府采购严重违法失信行为等不良记录；</w:t>
            </w:r>
          </w:p>
        </w:tc>
        <w:tc>
          <w:tcPr>
            <w:tcW w:type="dxa" w:w="1661"/>
          </w:tcPr>
          <w:p>
            <w:pPr>
              <w:pStyle w:val="null3"/>
            </w:pPr>
            <w:r>
              <w:rPr>
                <w:rFonts w:ascii="仿宋_GB2312" w:hAnsi="仿宋_GB2312" w:cs="仿宋_GB2312" w:eastAsia="仿宋_GB2312"/>
              </w:rPr>
              <w:t>投标人应提交的相关资格证明材料.docx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按磋商文件要求提供授权委托书</w:t>
            </w:r>
          </w:p>
        </w:tc>
        <w:tc>
          <w:tcPr>
            <w:tcW w:type="dxa" w:w="1661"/>
          </w:tcPr>
          <w:p>
            <w:pPr>
              <w:pStyle w:val="null3"/>
            </w:pPr>
            <w:r>
              <w:rPr>
                <w:rFonts w:ascii="仿宋_GB2312" w:hAnsi="仿宋_GB2312" w:cs="仿宋_GB2312" w:eastAsia="仿宋_GB2312"/>
              </w:rPr>
              <w:t>响应文件封面 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w:t>
            </w:r>
          </w:p>
        </w:tc>
        <w:tc>
          <w:tcPr>
            <w:tcW w:type="dxa" w:w="3322"/>
          </w:tcPr>
          <w:p>
            <w:pPr>
              <w:pStyle w:val="null3"/>
            </w:pPr>
            <w:r>
              <w:rPr>
                <w:rFonts w:ascii="仿宋_GB2312" w:hAnsi="仿宋_GB2312" w:cs="仿宋_GB2312" w:eastAsia="仿宋_GB2312"/>
              </w:rPr>
              <w:t>响应采购文件要求，无重大缺漏项、偏离；格式、填写要求符合磋商文件规定并加盖供应商电子签章</w:t>
            </w:r>
          </w:p>
        </w:tc>
        <w:tc>
          <w:tcPr>
            <w:tcW w:type="dxa" w:w="1661"/>
          </w:tcPr>
          <w:p>
            <w:pPr>
              <w:pStyle w:val="null3"/>
            </w:pPr>
            <w:r>
              <w:rPr>
                <w:rFonts w:ascii="仿宋_GB2312" w:hAnsi="仿宋_GB2312" w:cs="仿宋_GB2312" w:eastAsia="仿宋_GB2312"/>
              </w:rPr>
              <w:t>业绩.docx 服务内容及服务邀请应答表 中小企业声明函 商务应答表 报价表 响应文件封面 分项报价表.docx 安保人员明细.docx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满足磋商文件规定，格式、填写要求符合磋商文件规定并加盖供应商电子签章</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格式、填写要求符合磋商文件规定并加盖供应商电子签章</w:t>
            </w:r>
          </w:p>
        </w:tc>
        <w:tc>
          <w:tcPr>
            <w:tcW w:type="dxa" w:w="1661"/>
          </w:tcPr>
          <w:p>
            <w:pPr>
              <w:pStyle w:val="null3"/>
            </w:pPr>
            <w:r>
              <w:rPr>
                <w:rFonts w:ascii="仿宋_GB2312" w:hAnsi="仿宋_GB2312" w:cs="仿宋_GB2312" w:eastAsia="仿宋_GB2312"/>
              </w:rPr>
              <w:t>响应文件封面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磋商响应文件不得含有采购人不能接受的附加条件并需满足本磋商文件中实质性要求</w:t>
            </w:r>
          </w:p>
        </w:tc>
        <w:tc>
          <w:tcPr>
            <w:tcW w:type="dxa" w:w="3322"/>
          </w:tcPr>
          <w:p>
            <w:pPr>
              <w:pStyle w:val="null3"/>
            </w:pPr>
            <w:r>
              <w:rPr>
                <w:rFonts w:ascii="仿宋_GB2312" w:hAnsi="仿宋_GB2312" w:cs="仿宋_GB2312" w:eastAsia="仿宋_GB2312"/>
              </w:rPr>
              <w:t>磋商响应文件不得含有采购人不能接受的附加条件并需满足本磋商文件中实质性要求</w:t>
            </w:r>
          </w:p>
        </w:tc>
        <w:tc>
          <w:tcPr>
            <w:tcW w:type="dxa" w:w="1661"/>
          </w:tcPr>
          <w:p>
            <w:pPr>
              <w:pStyle w:val="null3"/>
            </w:pPr>
            <w:r>
              <w:rPr>
                <w:rFonts w:ascii="仿宋_GB2312" w:hAnsi="仿宋_GB2312" w:cs="仿宋_GB2312" w:eastAsia="仿宋_GB2312"/>
              </w:rPr>
              <w:t>响应文件封面 业绩.docx 投标人应提交的相关资格证明材料.docx 商务应答表 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6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出适用于本项目的服务响应方案，包括但不限于：①服务内容及要求的理解；②需求分析；③服务计划安排；④服务流程等；完全满足采购需求并符合本项目实施特点的得16分；每存在一处内容不完整或不详细或内容前后表述不一致扣1分，每存在一处内容缺项或缺少关键点扣4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针对本项目提出适用于本项目的服务保障措施，包括但不限于：①日常维护治安；②日常巡逻；③交接班保障措施；完全满足采购需求并符合本项目实施特点的得9分；每存在一处内容不完整或不详细或内容前后表述不一致扣1分，每存在一处内容缺项或缺少关键点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提出适用于本项目的服务管理制度，包括但不限于：①聘用；②培训；③上岗；④日常管理；⑤考核机制；⑥薪酬待遇；完全满足采购需求并符合本项目实施特点的得18分；每存在一处内容不完整或不详细或内容前后表述不一致扣1分，每存在一处内容缺项或缺少关键点扣3分，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拟投入装备方案</w:t>
            </w:r>
          </w:p>
        </w:tc>
        <w:tc>
          <w:tcPr>
            <w:tcW w:type="dxa" w:w="2492"/>
          </w:tcPr>
          <w:p>
            <w:pPr>
              <w:pStyle w:val="null3"/>
            </w:pPr>
            <w:r>
              <w:rPr>
                <w:rFonts w:ascii="仿宋_GB2312" w:hAnsi="仿宋_GB2312" w:cs="仿宋_GB2312" w:eastAsia="仿宋_GB2312"/>
              </w:rPr>
              <w:t>针对本项目提供装备器械方案，内容包含①统一着装（冬夏）；②装备配置（个人装备、安保器械和执勤装备）；③装备清单（详细的安保器械及执勤装备清单，包含但不限于品牌、规格、数量、用途、生产厂家、已服役年限等，属于自购的附发票复印件，属于租借的附相关证明材料）； 完全满足采购需求并符合本项目实施特点的得9分；每存在一处内容不完整或不详细或内容前后表述不一致扣1分，每存在一处内容缺项或缺少关键点扣3分，扣完为止。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应急保障及处置方案</w:t>
            </w:r>
          </w:p>
        </w:tc>
        <w:tc>
          <w:tcPr>
            <w:tcW w:type="dxa" w:w="2492"/>
          </w:tcPr>
          <w:p>
            <w:pPr>
              <w:pStyle w:val="null3"/>
            </w:pPr>
            <w:r>
              <w:rPr>
                <w:rFonts w:ascii="仿宋_GB2312" w:hAnsi="仿宋_GB2312" w:cs="仿宋_GB2312" w:eastAsia="仿宋_GB2312"/>
              </w:rPr>
              <w:t>针对本项目特征及风险点提供应急预案及处置方案，内容包含①应急预案（包括但不限于重大节日活动、日常维稳、治安应急等）；②处置流程；③善后处置；完全满足采购需求并符合本项目实施特点的得9分；每存在一处内容不完整或不详细或内容前后表述不一致扣1分，每存在一处内容缺项或缺少关键点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根据项目需求配备专业的保安主管，应当具备：①大专学历及以上，②有类似项目从业经验，需提供相关证明复印件。每满足一项得3分，总分6分；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安保人员明细.docx</w:t>
            </w:r>
          </w:p>
        </w:tc>
      </w:tr>
      <w:tr>
        <w:tc>
          <w:tcPr>
            <w:tcW w:type="dxa" w:w="831"/>
            <w:vMerge/>
          </w:tcPr>
          <w:p/>
        </w:tc>
        <w:tc>
          <w:tcPr>
            <w:tcW w:type="dxa" w:w="1661"/>
          </w:tcPr>
          <w:p>
            <w:pPr>
              <w:pStyle w:val="null3"/>
            </w:pPr>
            <w:r>
              <w:rPr>
                <w:rFonts w:ascii="仿宋_GB2312" w:hAnsi="仿宋_GB2312" w:cs="仿宋_GB2312" w:eastAsia="仿宋_GB2312"/>
              </w:rPr>
              <w:t>定期回访方案</w:t>
            </w:r>
          </w:p>
        </w:tc>
        <w:tc>
          <w:tcPr>
            <w:tcW w:type="dxa" w:w="2492"/>
          </w:tcPr>
          <w:p>
            <w:pPr>
              <w:pStyle w:val="null3"/>
            </w:pPr>
            <w:r>
              <w:rPr>
                <w:rFonts w:ascii="仿宋_GB2312" w:hAnsi="仿宋_GB2312" w:cs="仿宋_GB2312" w:eastAsia="仿宋_GB2312"/>
              </w:rPr>
              <w:t>接受采购人对本项目服务的考核、监督及管理，有定期回访采购单位相关负责人安排方案及意见反馈机制，内容详细且完全符合采购需求得5分，内容存在欠缺或与项目匹配度一般得3分，内容缺失严重或与项目不匹配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1、承诺上岗人员固定，不随意更换，若出现安保服务人员无法满足工作需求时，应及时请调其他安保服务人员补充，确保安保服务工作的正常进行得5分。 2、提供合理可行的人员补充方案得3分。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以合同的形式提供近三年（2023年1月1日起）同类项目（保安服务）业绩，每提供一项得2分，最高得10分。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响应单位的价格分统一按照下列公式计算：磋商报价得分=(磋商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详见附件：安保人员明细.docx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详见附件：采购合同-样式.docx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