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版本号：SXBH-ZFCG-2025-14220260109001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铜川市耀州区水质监测管理建设项目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SXBH-ZFCG-2025-142</w:t>
      </w:r>
      <w:r>
        <w:br/>
      </w:r>
      <w:r>
        <w:br/>
      </w:r>
      <w:r>
        <w:br/>
      </w:r>
    </w:p>
    <w:p>
      <w:pPr>
        <w:pStyle w:val="null3"/>
        <w:jc w:val="center"/>
        <w:outlineLvl w:val="2"/>
      </w:pPr>
      <w:r>
        <w:rPr>
          <w:rFonts w:ascii="仿宋_GB2312" w:hAnsi="仿宋_GB2312" w:cs="仿宋_GB2312" w:eastAsia="仿宋_GB2312"/>
          <w:sz w:val="28"/>
          <w:b/>
        </w:rPr>
        <w:t>铜川市生态环境局耀州分局</w:t>
      </w:r>
    </w:p>
    <w:p>
      <w:pPr>
        <w:pStyle w:val="null3"/>
        <w:jc w:val="center"/>
        <w:outlineLvl w:val="2"/>
      </w:pPr>
      <w:r>
        <w:rPr>
          <w:rFonts w:ascii="仿宋_GB2312" w:hAnsi="仿宋_GB2312" w:cs="仿宋_GB2312" w:eastAsia="仿宋_GB2312"/>
          <w:sz w:val="28"/>
          <w:b/>
        </w:rPr>
        <w:t>陕西北衡全项目咨询有限公司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陕西北衡全项目咨询有限公司</w:t>
      </w:r>
      <w:r>
        <w:rPr>
          <w:rFonts w:ascii="仿宋_GB2312" w:hAnsi="仿宋_GB2312" w:cs="仿宋_GB2312" w:eastAsia="仿宋_GB2312"/>
        </w:rPr>
        <w:t>（以下简称“代理机构”）受</w:t>
      </w:r>
      <w:r>
        <w:rPr>
          <w:rFonts w:ascii="仿宋_GB2312" w:hAnsi="仿宋_GB2312" w:cs="仿宋_GB2312" w:eastAsia="仿宋_GB2312"/>
        </w:rPr>
        <w:t>铜川市生态环境局耀州分局</w:t>
      </w:r>
      <w:r>
        <w:rPr>
          <w:rFonts w:ascii="仿宋_GB2312" w:hAnsi="仿宋_GB2312" w:cs="仿宋_GB2312" w:eastAsia="仿宋_GB2312"/>
        </w:rPr>
        <w:t>委托，拟对</w:t>
      </w:r>
      <w:r>
        <w:rPr>
          <w:rFonts w:ascii="仿宋_GB2312" w:hAnsi="仿宋_GB2312" w:cs="仿宋_GB2312" w:eastAsia="仿宋_GB2312"/>
        </w:rPr>
        <w:t>铜川市耀州区水质监测管理建设项目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SXBH-ZFCG-2025-142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铜川市耀州区水质监测管理建设项目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铜川市耀州区水质监测管理建设系统采购，主要针对漆水河流域、沮河流域、清峪河流域以及流域区域内涉水重点企业等水污染上的重要环节开展水环境监管。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采购包1（铜川市耀州区水质监测管理建设）：属于预留采购份额面向中小企业采购，预留比例为70%。</w:t>
      </w:r>
    </w:p>
    <w:p>
      <w:pPr>
        <w:pStyle w:val="null3"/>
      </w:pPr>
      <w:r>
        <w:rPr>
          <w:rFonts w:ascii="仿宋_GB2312" w:hAnsi="仿宋_GB2312" w:cs="仿宋_GB2312" w:eastAsia="仿宋_GB2312"/>
        </w:rPr>
        <w:t>供应商合同分包的，分包意向协议中中小企业预留比例为70%。（未进行合同分包的，供应商应当为中小企业）</w:t>
      </w:r>
    </w:p>
    <w:p>
      <w:pPr>
        <w:pStyle w:val="null3"/>
      </w:pPr>
      <w:r>
        <w:rPr>
          <w:rFonts w:ascii="仿宋_GB2312" w:hAnsi="仿宋_GB2312" w:cs="仿宋_GB2312" w:eastAsia="仿宋_GB2312"/>
        </w:rPr>
        <w:t>未组成联合体且未进行合同分包的，供应商应当为中小企业。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1、营业执照等证明材料：提供有效存续的企业营业执照（副本）/事业单位法人证书/专业服务机构执业许可证/民办非企业单位登记证书（以上四种形式的资料提供任何一种即可），自然人提供身份证；</w:t>
      </w:r>
    </w:p>
    <w:p>
      <w:pPr>
        <w:pStyle w:val="null3"/>
      </w:pPr>
      <w:r>
        <w:rPr>
          <w:rFonts w:ascii="仿宋_GB2312" w:hAnsi="仿宋_GB2312" w:cs="仿宋_GB2312" w:eastAsia="仿宋_GB2312"/>
        </w:rPr>
        <w:t>2、具有良好的商业信誉：提供中国裁判文书网（https://wenshu.court.gov.cn/）无行贿犯罪行为记录的查询截图，并附良好商业信誉声明函（格式自拟，需法定代表人签字并加盖单位公章）；</w:t>
      </w:r>
    </w:p>
    <w:p>
      <w:pPr>
        <w:pStyle w:val="null3"/>
      </w:pPr>
      <w:r>
        <w:rPr>
          <w:rFonts w:ascii="仿宋_GB2312" w:hAnsi="仿宋_GB2312" w:cs="仿宋_GB2312" w:eastAsia="仿宋_GB2312"/>
        </w:rPr>
        <w:t>3、具有良好的财务制度：提供近三年任一年度的经会计师事务所或审计机构审计的财务审计报告(包括审计报告、资产负债表、利润表、现金流量表、所有者权益变动表（无所有者权益变动表需提供相应的书面声明）、附注等全部内容，成立时间至提交响应文件截止时间不足一年的可提供成立后任意时段的资产负债表)和财务情况说明书，或投标截止日前六个月内其基本存款账户开户银行出具的资信证明及基本存款账户信息，或信用担保机构出具的投标担保函；</w:t>
      </w:r>
    </w:p>
    <w:p>
      <w:pPr>
        <w:pStyle w:val="null3"/>
      </w:pPr>
      <w:r>
        <w:rPr>
          <w:rFonts w:ascii="仿宋_GB2312" w:hAnsi="仿宋_GB2312" w:cs="仿宋_GB2312" w:eastAsia="仿宋_GB2312"/>
        </w:rPr>
        <w:t>4、依法缴纳税收的证明材料：提供2025年6月1日至今已缴纳的至少一个月的纳税证明或完税证明（提供增值税、营业税、企业所得税中的至少一种），纳税证明或完税证明上应有代收机构或税务机关的公章或业务专用章。依法免税的单位应提供相关证明材料；</w:t>
      </w:r>
    </w:p>
    <w:p>
      <w:pPr>
        <w:pStyle w:val="null3"/>
      </w:pPr>
      <w:r>
        <w:rPr>
          <w:rFonts w:ascii="仿宋_GB2312" w:hAnsi="仿宋_GB2312" w:cs="仿宋_GB2312" w:eastAsia="仿宋_GB2312"/>
        </w:rPr>
        <w:t>5、依法缴纳社会保障资金的证明材料：提供2025年6月1日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6、具有履行合同所必需的设备和专业技术能力：提供具有履行合同所必需的设备和专业技术能力的书面声明；</w:t>
      </w:r>
    </w:p>
    <w:p>
      <w:pPr>
        <w:pStyle w:val="null3"/>
      </w:pPr>
      <w:r>
        <w:rPr>
          <w:rFonts w:ascii="仿宋_GB2312" w:hAnsi="仿宋_GB2312" w:cs="仿宋_GB2312" w:eastAsia="仿宋_GB2312"/>
        </w:rPr>
        <w:t>7、参加本次政府采购活动前3年内在经营活动中没有重大违法记录或被起诉：提供参加本次政府采购活动前3年内在经营活动中没有重大违法记录或被起诉的书面声明；</w:t>
      </w:r>
    </w:p>
    <w:p>
      <w:pPr>
        <w:pStyle w:val="null3"/>
      </w:pPr>
      <w:r>
        <w:rPr>
          <w:rFonts w:ascii="仿宋_GB2312" w:hAnsi="仿宋_GB2312" w:cs="仿宋_GB2312" w:eastAsia="仿宋_GB2312"/>
        </w:rPr>
        <w:t>8、法定代表人或法定代表授权人：法定代表人（负责人）直接参加投标的，须出具法定代表人（负责人）身份证明及身份证复印件，并与营业执照上信息一致；法定代表人（负责人）授权代表参加投标的，须出具法定代表人（负责人）授权书及授权代表身份证复印件；</w:t>
      </w:r>
    </w:p>
    <w:p>
      <w:pPr>
        <w:pStyle w:val="null3"/>
      </w:pPr>
      <w:r>
        <w:rPr>
          <w:rFonts w:ascii="仿宋_GB2312" w:hAnsi="仿宋_GB2312" w:cs="仿宋_GB2312" w:eastAsia="仿宋_GB2312"/>
        </w:rPr>
        <w:t>9、单位负责人为同一人或者存在直接控股、管理关系的不同投标人，不得参加同一合同项下的政府采购活动：提供单位负责人为同一人或者存在直接控股、管理关系的不同投标人，不得参加同一合同项下的政府采购活动的书面声明；</w:t>
      </w:r>
    </w:p>
    <w:p>
      <w:pPr>
        <w:pStyle w:val="null3"/>
      </w:pPr>
      <w:r>
        <w:rPr>
          <w:rFonts w:ascii="仿宋_GB2312" w:hAnsi="仿宋_GB2312" w:cs="仿宋_GB2312" w:eastAsia="仿宋_GB2312"/>
        </w:rPr>
        <w:t>10、非联合体投标：提供非联合体投标的承诺书。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铜川市生态环境局耀州分局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陕西省铜川市耀州区药王路81号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田栋栋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13992996404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陕西北衡全项目咨询有限公司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铜川市印台区城关街道办事处南苑社区惠民佳苑8号楼2楼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霍少楠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18091953010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采购包1：9,097,196.00元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分体式壁挂冷热空调</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收费标准依据国家计委计价格[2002]1980号文件规定计取，以中标金额为计算基数，按差额定率累进法计算。本项目代理服务费由成交供应商承担，采购代理工作结束后一次性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铜川市生态环境局耀州分局</w:t>
      </w:r>
      <w:r>
        <w:rPr>
          <w:rFonts w:ascii="仿宋_GB2312" w:hAnsi="仿宋_GB2312" w:cs="仿宋_GB2312" w:eastAsia="仿宋_GB2312"/>
        </w:rPr>
        <w:t>和</w:t>
      </w:r>
      <w:r>
        <w:rPr>
          <w:rFonts w:ascii="仿宋_GB2312" w:hAnsi="仿宋_GB2312" w:cs="仿宋_GB2312" w:eastAsia="仿宋_GB2312"/>
        </w:rPr>
        <w:t>陕西北衡全项目咨询有限公司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铜川市生态环境局耀州分局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陕西北衡全项目咨询有限公司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铜川市生态环境局耀州分局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陕西北衡全项目咨询有限公司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采购包1：分包比例70%，分包履行的内容：本项目清单各分项，其中中型、小型、微型企业承包的金额占总金额的比例须≥70%；资质要求详见第4章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要求投标人所供产品质量必须全面且严格符合国家强制性标准及行业质量验收规范，同时需满足相关法规要求。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联系人：霍少楠</w:t>
      </w:r>
    </w:p>
    <w:p>
      <w:pPr>
        <w:pStyle w:val="null3"/>
      </w:pPr>
      <w:r>
        <w:rPr>
          <w:rFonts w:ascii="仿宋_GB2312" w:hAnsi="仿宋_GB2312" w:cs="仿宋_GB2312" w:eastAsia="仿宋_GB2312"/>
        </w:rPr>
        <w:t>联系电话：18091953010</w:t>
      </w:r>
    </w:p>
    <w:p>
      <w:pPr>
        <w:pStyle w:val="null3"/>
      </w:pPr>
      <w:r>
        <w:rPr>
          <w:rFonts w:ascii="仿宋_GB2312" w:hAnsi="仿宋_GB2312" w:cs="仿宋_GB2312" w:eastAsia="仿宋_GB2312"/>
        </w:rPr>
        <w:t>地址：铜川市印台区惠民佳苑8号楼2楼</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铜川市耀州区水质监测管理建设系统采购，主要针对漆水河流域、沮河流域、清峪河流域以及流域区域内涉水重点企业等水污染上的重要环节开展水环境监管。</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9,097,196.00</w:t>
      </w:r>
    </w:p>
    <w:p>
      <w:pPr>
        <w:pStyle w:val="null3"/>
      </w:pPr>
      <w:r>
        <w:rPr>
          <w:rFonts w:ascii="仿宋_GB2312" w:hAnsi="仿宋_GB2312" w:cs="仿宋_GB2312" w:eastAsia="仿宋_GB2312"/>
        </w:rPr>
        <w:t>采购包最高限价（元）: 9,097,196.00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水质污染防治设备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9,097,196.00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标的名称：水质污染防治设备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具体详见清单及清单附件--其他附件</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自合同签订之日起12个月内安装调试完毕。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设备到现场后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设备安装调试完成且验收合格后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达到国家及行业质量验收标准。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1、售后服务及运维要求： （1）要求投标人有专业的售后服务机构或售后维修人员，在保修期内及运维服务期间和保修期外提供 7*24小时热线服务，出现故障时，保证以最短时间到达现场，解决故障； （2）投标人免费提供二年运维服务； （3）投标人须每半年进行一次数据更新； （4）如遇突发应急事故，投标人须协助甲方进行检测。 2、质保期：自验收合格之日起二年（如中标人承诺的质保时间超过文件要求的，按其承诺时间质保）。质保期内提供24小时服务，在质保期内因质量问题导致的设备不能正常运行的，由投标人免费更换新设备，有任何问题投标人应免费维修，维修产生的所有费用（包括但不限于更换新的部件等）均由投标人自行负责。质保期间项目所含内容的一切质量问题及产品本身质量原因造成的直接经济损失全部由投标人自行负责。 质保期起始时间：自本项目终验合格之日起计算。 3、所有产品质量必须符合国家有关规范和相关政策。国家没有相应标准、规范的，可使用行业标准、规定；非标产品按采购约定的技术要求和规范。所有设备及辅材必须是未使用过的新产品，质量优良、渠道正当，配置合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实施阶段须将相关工作分包给具备资质的企业，保障项目顺利推进；2、按《中华人民共和国民法典》中的相关条款执行。3、中标单位未按合同要求执行、质量不能满足要求，采购人可根据中标单位的违约情况，调整成交供应商的供货范围或取消其服务资格，并终止合同，并对供方违约行为进行追究，同时按《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1、为顺利推进政府采购电子化交易平台应用工作，投标人需要在线提交所有通过电子化交易平台实施的政府采购项目的响应文件，同时，线下提交纸质响应文件正本壹份、副本壹份。 2、纸质响应文件正副本分别胶装（书脊处注明项目名称，项目编号），标明投标人名称密封递交，递交截止时间同在线递交电子响应文件截止时间一致，递交地址：铜川市印台区惠民佳苑 8 号楼 2 楼。（纸质响应文件可邮寄，邮件签收时间应为在线递交电子响应文件截止时间之前，邮寄地址：铜川市印台区惠民佳苑 8 号楼 2 楼，联系人：霍少楠，联系电话：18091953010）。3、若电子投标文件与纸质投标文件不一致的，以电子投标文件为准。4、核心产品：在线式水污染预警溯源仪 （不同投标人提供的核心产品品牌一致的，按相同品牌产品处理。核心产品的不允许出现品牌相同情况，其余产品不做品牌限制）。 5、本项目清单各分项均须明确标注制造商的规模类型（大型、中型、小型、微型），规模认定标准执行《中小企业划型标准规定》，本项目所属行业为工业。其中，中型、小型、微型企业承包的报价金额占总报价金额的比例须≥70%。投标文件未满足上述要求的，按无效投标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三年任一年度的经会计师事务所或审计机构审计的财务审计报告(包括审计报告、资产负债表、利润表、现金流量表、所有者权益变动表（无所有者权益变动表需提供相应的书面声明）、附注等全部内容，成立时间至提交响应文件截止时间不足一年的可提供成立后任意时段的资产负债表)和财务情况说明书，或投标截止日前六个月内其基本存款账户开户银行出具的资信证明及基本存款账户信息，或信用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营业执照等证明材料</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提供有效存续的企业营业执照（副本）/事业单位法人证书/专业服务机构执业许可证/民办非企业单位登记证书（以上四种形式的资料提供任何一种即可），自然人提供身份证；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提供中国裁判文书网（https://wenshu.court.gov.cn/）无行贿犯罪行为记录的查询截图，并附良好商业信誉声明函（格式自拟，需法定代表人签字并加盖单位公章）；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具有良好的财务制度</w:t>
            </w:r>
          </w:p>
        </w:tc>
        <w:tc>
          <w:tcPr>
            <w:tcW w:type="dxa" w:w="3322"/>
          </w:tcPr>
          <w:p>
            <w:pPr>
              <w:pStyle w:val="null3"/>
            </w:pPr>
            <w:r>
              <w:rPr>
                <w:rFonts w:ascii="仿宋_GB2312" w:hAnsi="仿宋_GB2312" w:cs="仿宋_GB2312" w:eastAsia="仿宋_GB2312"/>
              </w:rPr>
              <w:t>提供近三年任一年度的经会计师事务所或审计机构审计的财务审计报告(包括审计报告、资产负债表、利润表、现金流量表、所有者权益变动表（无所有者权益变动表需提供相应的书面声明）、附注等全部内容，成立时间至提交响应文件截止时间不足一年的可提供成立后任意时段的资产负债表)和财务情况说明书，或投标截止日前六个月内其基本存款账户开户银行出具的资信证明及基本存款账户信息，或信用担保机构出具的投标担保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依法缴纳税收的证明材料</w:t>
            </w:r>
          </w:p>
        </w:tc>
        <w:tc>
          <w:tcPr>
            <w:tcW w:type="dxa" w:w="3322"/>
          </w:tcPr>
          <w:p>
            <w:pPr>
              <w:pStyle w:val="null3"/>
            </w:pPr>
            <w:r>
              <w:rPr>
                <w:rFonts w:ascii="仿宋_GB2312" w:hAnsi="仿宋_GB2312" w:cs="仿宋_GB2312" w:eastAsia="仿宋_GB2312"/>
              </w:rPr>
              <w:t>提供2025年6月1日至今已缴纳的至少一个月的纳税证明或完税证明（提供增值税、营业税、企业所得税中的至少一种），纳税证明或完税证明上应有代收机构或税务机关的公章或业务专用章。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依法缴纳社会保障资金的证明材料</w:t>
            </w:r>
          </w:p>
        </w:tc>
        <w:tc>
          <w:tcPr>
            <w:tcW w:type="dxa" w:w="3322"/>
          </w:tcPr>
          <w:p>
            <w:pPr>
              <w:pStyle w:val="null3"/>
            </w:pPr>
            <w:r>
              <w:rPr>
                <w:rFonts w:ascii="仿宋_GB2312" w:hAnsi="仿宋_GB2312" w:cs="仿宋_GB2312" w:eastAsia="仿宋_GB2312"/>
              </w:rPr>
              <w:t>提供2025年6月1日至今已缴存的至少一个月的社会保障资金缴存单据或社保机构开具的社会保险参保缴费情况证明。依法不需要缴纳社会保障资金的单位应提供相关证明材料；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参加本次政府采购活动前3年内在经营活动中没有重大违法记录或被起诉</w:t>
            </w:r>
          </w:p>
        </w:tc>
        <w:tc>
          <w:tcPr>
            <w:tcW w:type="dxa" w:w="3322"/>
          </w:tcPr>
          <w:p>
            <w:pPr>
              <w:pStyle w:val="null3"/>
            </w:pPr>
            <w:r>
              <w:rPr>
                <w:rFonts w:ascii="仿宋_GB2312" w:hAnsi="仿宋_GB2312" w:cs="仿宋_GB2312" w:eastAsia="仿宋_GB2312"/>
              </w:rPr>
              <w:t>提供参加本次政府采购活动前3年内在经营活动中没有重大违法记录或被起诉的书面声明；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法定代表人或法定代表授权人</w:t>
            </w:r>
          </w:p>
        </w:tc>
        <w:tc>
          <w:tcPr>
            <w:tcW w:type="dxa" w:w="3322"/>
          </w:tcPr>
          <w:p>
            <w:pPr>
              <w:pStyle w:val="null3"/>
            </w:pPr>
            <w:r>
              <w:rPr>
                <w:rFonts w:ascii="仿宋_GB2312" w:hAnsi="仿宋_GB2312" w:cs="仿宋_GB2312" w:eastAsia="仿宋_GB2312"/>
              </w:rPr>
              <w:t>法定代表人（负责人）直接参加投标的，须出具法定代表人（负责人）身份证明及身份证复印件，并与营业执照上信息一致；法定代表人（负责人）授权代表参加投标的，须出具法定代表人（负责人）授权书及授权代表身份证复印件；</w:t>
            </w:r>
          </w:p>
        </w:tc>
        <w:tc>
          <w:tcPr>
            <w:tcW w:type="dxa" w:w="1661"/>
          </w:tcPr>
          <w:p>
            <w:pPr>
              <w:pStyle w:val="null3"/>
            </w:pPr>
            <w:r>
              <w:rPr>
                <w:rFonts w:ascii="仿宋_GB2312" w:hAnsi="仿宋_GB2312" w:cs="仿宋_GB2312" w:eastAsia="仿宋_GB2312"/>
              </w:rPr>
              <w:t>法定代表人证明书.docx 投标人应提交的相关资格证明材料 法定代表人授权书.docx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3322"/>
          </w:tcPr>
          <w:p>
            <w:pPr>
              <w:pStyle w:val="null3"/>
            </w:pPr>
            <w:r>
              <w:rPr>
                <w:rFonts w:ascii="仿宋_GB2312" w:hAnsi="仿宋_GB2312" w:cs="仿宋_GB2312" w:eastAsia="仿宋_GB2312"/>
              </w:rPr>
              <w:t>提供单位负责人为同一人或者存在直接控股、管理关系的不同投标人，不得参加同一合同项下的政府采购活动的书面声明；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提供非联合体投标的承诺书。</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清单各分项均须明确标注制造商的规模类型（大型、中型、小型、微型），规模认定标准执行《中小企业划型标准规定》，本项目所属行业为工业。其中，中型、小型、微型企业承包的报价金额占总报价金额的比例须≥70%。投标文件未满足上述要求的，按无效投标处理。</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技术方案.docx 中小企业声明函 商务应答表 投标人应提交的相关资格证明材料 同类项目业绩一览表.docx 法定代表人授权书.docx 分项报价表.docx 产品技术参数表 投标函 残疾人福利性单位声明函 标的清单 法定代表人证明书.docx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投标人按照招标文件要求上传响应文件。</w:t>
            </w:r>
          </w:p>
        </w:tc>
        <w:tc>
          <w:tcPr>
            <w:tcW w:type="dxa" w:w="1661"/>
          </w:tcPr>
          <w:p>
            <w:pPr>
              <w:pStyle w:val="null3"/>
            </w:pPr>
            <w:r>
              <w:rPr>
                <w:rFonts w:ascii="仿宋_GB2312" w:hAnsi="仿宋_GB2312" w:cs="仿宋_GB2312" w:eastAsia="仿宋_GB2312"/>
              </w:rPr>
              <w:t>技术方案.docx 中小企业声明函 商务应答表 投标人应提交的相关资格证明材料 同类项目业绩一览表.docx 法定代表人授权书.docx 产品技术参数表 分项报价表.docx 投标函 残疾人福利性单位声明函 标的清单 法定代表人证明书.docx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投标人必须按照招标文件的规定和要求在投标文件中指定的页面落款处加盖公章或由法定代表人或被授权人签名（或盖章），其余页面逐页盖公章，否则将作为无效投标文件处理。招标文件凡是要求法定代表人签名或盖章之处 ，非法人单位的负责人均参照执行。</w:t>
            </w:r>
          </w:p>
        </w:tc>
        <w:tc>
          <w:tcPr>
            <w:tcW w:type="dxa" w:w="1661"/>
          </w:tcPr>
          <w:p>
            <w:pPr>
              <w:pStyle w:val="null3"/>
            </w:pPr>
            <w:r>
              <w:rPr>
                <w:rFonts w:ascii="仿宋_GB2312" w:hAnsi="仿宋_GB2312" w:cs="仿宋_GB2312" w:eastAsia="仿宋_GB2312"/>
              </w:rPr>
              <w:t>技术方案.docx 中小企业声明函 商务应答表 投标人应提交的相关资格证明材料 同类项目业绩一览表.docx 法定代表人授权书.docx 产品技术参数表 分项报价表.docx 投标函 残疾人福利性单位声明函 标的清单 法定代表人证明书.docx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投标文件所有报价未超过最高限价。</w:t>
            </w:r>
          </w:p>
        </w:tc>
        <w:tc>
          <w:tcPr>
            <w:tcW w:type="dxa" w:w="1661"/>
          </w:tcPr>
          <w:p>
            <w:pPr>
              <w:pStyle w:val="null3"/>
            </w:pPr>
            <w:r>
              <w:rPr>
                <w:rFonts w:ascii="仿宋_GB2312" w:hAnsi="仿宋_GB2312" w:cs="仿宋_GB2312" w:eastAsia="仿宋_GB2312"/>
              </w:rPr>
              <w:t>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不得超过招标文件要求的交货期。</w:t>
            </w:r>
          </w:p>
        </w:tc>
        <w:tc>
          <w:tcPr>
            <w:tcW w:type="dxa" w:w="1661"/>
          </w:tcPr>
          <w:p>
            <w:pPr>
              <w:pStyle w:val="null3"/>
            </w:pPr>
            <w:r>
              <w:rPr>
                <w:rFonts w:ascii="仿宋_GB2312" w:hAnsi="仿宋_GB2312" w:cs="仿宋_GB2312" w:eastAsia="仿宋_GB2312"/>
              </w:rPr>
              <w:t>开标一览表 商务应答表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A、投标人的响应报价有选择性报价或者响应报价重新计算后超过本项目采购预算或者最高限价的； B、投标人未经过正常渠道领取招标文件，或投标人名称与领取招标文件时登记的投标人名称不符的； C、投标人针对同一项目递交两份或多份内容不同的响应文件，未书面声明哪一份是有效的或出现选择性报价的； D、提供虚假资质、虚假资料、虚假证明（包括第三方提供的虚假证明）；出现虚假应答、承诺、声明的，除按无效响应文件处理外，还将按照政府采购的有关规定进行处罚； E、投标人在商务响应方面附加了采购单位难以接受的条件或条款的； F、在政府采购或其它重大项目履约过程中有不良记录或未能按期履约的； G、投标人使用虚假印章或印章无法证实为真实有效； H、报价子目出现漏项或报价与要求不符的； I、实质性内容不满足、未完全未响应招标要求或擅自改动技术要求的； G、响应文件的关键内容或字迹模糊、无法辨认的； K、不符合法律、法规规定的其它实质性要求的。</w:t>
            </w:r>
          </w:p>
        </w:tc>
        <w:tc>
          <w:tcPr>
            <w:tcW w:type="dxa" w:w="1661"/>
          </w:tcPr>
          <w:p>
            <w:pPr>
              <w:pStyle w:val="null3"/>
            </w:pPr>
            <w:r>
              <w:rPr>
                <w:rFonts w:ascii="仿宋_GB2312" w:hAnsi="仿宋_GB2312" w:cs="仿宋_GB2312" w:eastAsia="仿宋_GB2312"/>
              </w:rPr>
              <w:t>技术方案.docx 开标一览表 中小企业声明函 商务应答表 投标人应提交的相关资格证明材料 同类项目业绩一览表.docx 法定代表人授权书.docx 产品技术参数表 分项报价表.docx 投标函 残疾人福利性单位声明函 标的清单 法定代表人证明书.docx 投标文件封面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《中小企业声明函》响应情况</w:t>
            </w:r>
          </w:p>
        </w:tc>
        <w:tc>
          <w:tcPr>
            <w:tcW w:type="dxa" w:w="3322"/>
          </w:tcPr>
          <w:p>
            <w:pPr>
              <w:pStyle w:val="null3"/>
            </w:pPr>
            <w:r>
              <w:rPr>
                <w:rFonts w:ascii="仿宋_GB2312" w:hAnsi="仿宋_GB2312" w:cs="仿宋_GB2312" w:eastAsia="仿宋_GB2312"/>
              </w:rPr>
              <w:t>本项目清单各分项均须明确标注制造商的规模类型（大型、中型、小型、微型），规模认定标准执行《中小企业划型标准规定》，本项目所属行业为工业。其中，中型、小型、微型企业承包的报价金额占总报价金额的比例须≥70%。投标文件未满足上述要求的，按无效投标处理。</w:t>
            </w:r>
          </w:p>
        </w:tc>
        <w:tc>
          <w:tcPr>
            <w:tcW w:type="dxa" w:w="1661"/>
          </w:tcPr>
          <w:p>
            <w:pPr>
              <w:pStyle w:val="null3"/>
            </w:pPr>
            <w:r>
              <w:rPr>
                <w:rFonts w:ascii="仿宋_GB2312" w:hAnsi="仿宋_GB2312" w:cs="仿宋_GB2312" w:eastAsia="仿宋_GB2312"/>
              </w:rPr>
              <w:t>分项报价表.docx 中小企业声明函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评审内容（最高得7分，负偏离一处扣0.5分） 技术参数（提供的设备包括但不限于：水污染预警溯源仪、常规 5 参数监测设备、高锰酸盐指数监测设备、氨氮监测设备、总磷监测设备、总氮监测设备、水质微站等）附佐证材料(不限于产品彩页、使用说明书、厂家授权书、检测报告等)；未提供或所提供材料模糊不清或所提供材料无法有效证明，与所投标产品无密切相关的将视为不满足本参数要求，按负偏离进行扣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一、评审内容（每项计2分，最高得6分，未提供不计分） 1、质量规划、目标：明确项目各阶段质量重点、节点；说明确保规划与目标具有针对性和可实现性； 2、保障措施：围绕设定的质量目标，列明全流程质量保障手段，包括但不限于过程管控流程、确保各环节质量可控； 3、未达到质量标准的改进措施：建立完善的质量反馈机制，针对可能出现的未达质量标准的场景，制定具体的整改流程、整改时限及复核验证方式。 二、扣分规则（累计扣分不超过对应评审内容分值，三项内容总扣分无上限，扣完对应分项分值即止） 专门针对本项目编制，切合本项目实际情况及实施要求，内容与要点相符、每个要点均有展开详细的阐述且能够适用于本项目的计6分；以上评审内容每项有缺项扣2分；存在缺陷，每个缺陷扣0.4分。（缺陷是指：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一、评审内容（每项计2分，最高得10分，未提供不计分） 1、水质指纹溯源库建设方案； 2、监管平台系统功能设计方案； 3、运输保障方案； 4、安装、调试及验收方案； 5、可与省级平台稳妥无缝对接数据的方案。 二、扣分规则（累计扣分不超过对应评审内容分值，四项内容总扣分无上限，扣完对应分项分值即止） 专门针对本项目编制，切合本项目实际情况及实施要求，内容与要点相符、每个要点均有展开详细的阐述且能够适用于本项目的计10分；以上评审内容每项有缺项扣2分；存在缺陷，每个缺陷扣0.5分。（缺陷是指：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一、评审内容（每项计2分，最高得6分，未提供不计分） 1、具有售后服务机构及人员配置方案； 2、提供保修期外至全寿命周期内零配件及备品备件供应方案（包括：供应时间、安装更换方式）； 3、所投产品售后服务承诺。 二、扣分规则（累计扣分不超过对应评审内容分值，三项内容总扣分无上限，扣完对应分项分值即止） 专门针对本项目编制，切合本项目实际情况及实施要求，内容与要点相符、每个要点均有展开详细的阐述且能够适用于本项目的计6分；以上评审内容每项有缺项扣2分；存在缺陷，每个缺陷扣0.5分。（缺陷是指：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一、评审内容（每项计2分，最高得6分，未提供不计分） 1、培训时间计划及培训人员安排； 2、培训内容设计安排； 3、重点难点及培训结果保障措施。 二、扣分规则（累计扣分不超过对应评审内容分值，三项内容总扣分无上限，扣完对应分项分值即止） 专门针对本项目编制，切合本项目实际情况及实施要求，内容与要点相符、每个要点均有展开详细的阐述且能够适用于本项目的计6分；以上评审内容每项有缺项扣2分；存在缺陷，每个缺陷扣0.5分。（缺陷是指：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突发应急预案</w:t>
            </w:r>
          </w:p>
        </w:tc>
        <w:tc>
          <w:tcPr>
            <w:tcW w:type="dxa" w:w="2492"/>
          </w:tcPr>
          <w:p>
            <w:pPr>
              <w:pStyle w:val="null3"/>
            </w:pPr>
            <w:r>
              <w:rPr>
                <w:rFonts w:ascii="仿宋_GB2312" w:hAnsi="仿宋_GB2312" w:cs="仿宋_GB2312" w:eastAsia="仿宋_GB2312"/>
              </w:rPr>
              <w:t>一、评审内容（每项计2分，最高得6分，未提供不计分） 针对本项目突发事件的应急响应处理方案： 1、设备故障应急预案； 2、人员受伤应急预案； 3、运输途中突发交通事故； 二、扣分规则（累计扣分不超过对应评审内容分值，三项内容总扣分无上限，扣完对应分项分值即止） 专门针对本项目编制，切合本项目实际情况及实施要求，内容与要点相符、每个要点均有展开详细的阐述且能够适用于本项目的计6分；以上评审内容每项有缺项扣2分；存在缺陷，每个缺陷扣0.5分。（缺陷是指：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应急响应时间</w:t>
            </w:r>
          </w:p>
        </w:tc>
        <w:tc>
          <w:tcPr>
            <w:tcW w:type="dxa" w:w="2492"/>
          </w:tcPr>
          <w:p>
            <w:pPr>
              <w:pStyle w:val="null3"/>
            </w:pPr>
            <w:r>
              <w:rPr>
                <w:rFonts w:ascii="仿宋_GB2312" w:hAnsi="仿宋_GB2312" w:cs="仿宋_GB2312" w:eastAsia="仿宋_GB2312"/>
              </w:rPr>
              <w:t>评审内容（本项计2分，最高得2分，未提供不计分） 应急响应时间能完全保障设备故障后的运行，投标人在接到电话1小时内作出响应并可赶至现场解决问题的计1分；2小时内响应的计0.5分，超过2小时响应的不计分。投标人须提供售后服务网点、地址、售后人员名单、项目相关构配件配备存储情况佐证材料，提供计1分，未提供或提供不完整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相关配备</w:t>
            </w:r>
          </w:p>
        </w:tc>
        <w:tc>
          <w:tcPr>
            <w:tcW w:type="dxa" w:w="2492"/>
          </w:tcPr>
          <w:p>
            <w:pPr>
              <w:pStyle w:val="null3"/>
            </w:pPr>
            <w:r>
              <w:rPr>
                <w:rFonts w:ascii="仿宋_GB2312" w:hAnsi="仿宋_GB2312" w:cs="仿宋_GB2312" w:eastAsia="仿宋_GB2312"/>
              </w:rPr>
              <w:t>评审内容（第一项计5分，第二项计3分，最高得8分，未提供不计分） 1、项目人员配备情况： ①提供拟投入本项目人员基本信息：提供10-15人，计2分：提供5-10人（含10人），计1分；提供0-5人（含5人），不计分； ②专业技术人员配备：具备环境科学与工程或环境工程专业中级及以上工程师职称人员配备。提供2人及以上的，计2分；提供3人及以上的，计3分。未提供的，不计分。需提供职称证书原件扫描件，否则对应分值不予认可； 2. 水污染预警移动溯源车相关手续：提供自有或合法租赁的经改装合法、可安全上路的水污染预警移动溯源车相关手续具体要求： ①自有车辆需提供行驶证、车辆真实照片（多角度照片）、车辆改装合规证明（如改装备案手续），提供计3分； ②租赁车辆需提供有效期内的租赁合同（明确车辆用途覆盖水污染预警溯源相关工作）、车辆真实照片（多角度照片）、车辆改装合规证明及出租方产权证明（行驶证，出租资格等），所有材料需加盖投标人公章，提供计1分；未提供水污染预警移动溯源车相关手续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履约承诺</w:t>
            </w:r>
          </w:p>
        </w:tc>
        <w:tc>
          <w:tcPr>
            <w:tcW w:type="dxa" w:w="2492"/>
          </w:tcPr>
          <w:p>
            <w:pPr>
              <w:pStyle w:val="null3"/>
            </w:pPr>
            <w:r>
              <w:rPr>
                <w:rFonts w:ascii="仿宋_GB2312" w:hAnsi="仿宋_GB2312" w:cs="仿宋_GB2312" w:eastAsia="仿宋_GB2312"/>
              </w:rPr>
              <w:t>评审内容：（每提供一份计1分，最高得4分；未提供或未文字说明核心响应点，不计分） 1.提供供货能力承诺（明确承诺交付时限）； 2.提供交付周期承诺（明确承诺按时交付，若因投标人原因延迟的解决办法）； 3.提供瑕疵处理承诺（明确货物存在质量问题，承诺在收到反馈后响应时限）； 4.提供合同履行承诺（明确承诺严格遵守合同所有条款）。</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综合实力（投标产品）</w:t>
            </w:r>
          </w:p>
        </w:tc>
        <w:tc>
          <w:tcPr>
            <w:tcW w:type="dxa" w:w="2492"/>
          </w:tcPr>
          <w:p>
            <w:pPr>
              <w:pStyle w:val="null3"/>
            </w:pPr>
            <w:r>
              <w:rPr>
                <w:rFonts w:ascii="仿宋_GB2312" w:hAnsi="仿宋_GB2312" w:cs="仿宋_GB2312" w:eastAsia="仿宋_GB2312"/>
              </w:rPr>
              <w:t>评审内容：（第一项计4分，第二项计11分，最高得15分，未提供不计分） 1、项目业绩： 提供2022年1月1日以来投标人或制造商已完成同类项目业绩（如：水污染预警溯源站建设业绩、水质指纹数据库建设业绩等）。请提供合同复印件（同时提供合同首页、内容页、盖章页复印件并加盖供应商公章）、付款凭证（合同期内任意一次发票）及验收合格的证明文件（如验收证明、合同采购方出具的验收合格证明、其它能证明已完成供货并验收合格的材料等任意一种），未按要求完整提供证明文件不得分。 注：①同一个项目提供多份合同的，按一份业绩；每提供一份业绩计1分，本项最高得4分； ②若提供制造商业绩附制造商授权书，明确授权其业绩参与投标。 2、实力体现： （1）所投本项目水污染预警溯源仪、常规 5 参数监测设备、高锰酸盐指数监测设备、氨氮监测设备、总磷监测设备、总氮监测设备、水质微站（共 7 项），须分别提供对应产品的有效《中国环境保护产品认证证书》（CCEP 认证），且各类产品证书的认证单元须与投标产品型号完全一致。 证书材料提交须满足以下要求之一：① 提供证书原件扫描件的，须逐页加盖投标人单位公章；② 提供证书复印件的，须同步附该证书在认证机构官网的实时查询截图，且复印件与查询截图均须加盖投标人单位公章。全部提供，计3分；未提供或提供的证书的数量及佐证材料不符合要求的，不计分。 （2）用户评价（不限于精准溯源精准治理、流域水环境监管、饮用水源地水质安全保障、地表水溯源、地下水污染溯源、工业园区污染源精准监管、污水厂进水冲击溯源、排口与管网污染溯源、重大事件的水环境安全保障、支撑高效环境执法的溯源等），需提供用户评价证明材料。 注：①用户评价案例不重复计分；②评分标准：提供10-15份，计4分；提供5-9份，计2分；未提供或提供的少于5份的，不计分；本项最高计4分，未提供不计分。 （3）相关标准：投标人或制造商参加水质指纹溯源管理或在线水质荧光指纹污染预警溯源仪相关的团体标准、地方标准、行业标准、国家标准的制定并正式发布（团体标准、地方标准、行业标准、国家标准等提供完整的标准文件，且标准文件中注明投标人是起草单位）。每一提供一个标准，计1分；本项最高计2分；未提供不计分。 （4）相关科研：投标人或制造商近3年以来承担过与污染溯源技术及装备相关的省级科技/科研项目。每一提供一个标准，计1分；本项最高计2分；未提供不计分。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同类项目业绩一览表.docx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价格权值×100 计算分数时四舍五入取小数点后两位。注：投标人报价明显低于其他实质性响应的投标人报价，有可能影响产品质量或者不能诚信履约的，须提交相关证明材料。</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详见附件：法定代表人证明书.docx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详见附件：同类项目业绩一览表.docx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