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版本号：WHYDZCD-202602-00320260214003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修缮改造项目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WHYDZCD-202602-003</w:t>
      </w:r>
      <w:r>
        <w:br/>
      </w:r>
      <w:r>
        <w:br/>
      </w:r>
      <w:r>
        <w:br/>
      </w:r>
    </w:p>
    <w:p>
      <w:pPr>
        <w:pStyle w:val="null3"/>
        <w:jc w:val="center"/>
        <w:outlineLvl w:val="2"/>
      </w:pPr>
      <w:r>
        <w:rPr>
          <w:rFonts w:ascii="仿宋_GB2312" w:hAnsi="仿宋_GB2312" w:cs="仿宋_GB2312" w:eastAsia="仿宋_GB2312"/>
          <w:sz w:val="28"/>
          <w:b/>
        </w:rPr>
        <w:t>铜川市耀州区看守所</w:t>
      </w:r>
    </w:p>
    <w:p>
      <w:pPr>
        <w:pStyle w:val="null3"/>
        <w:jc w:val="center"/>
        <w:outlineLvl w:val="2"/>
      </w:pPr>
      <w:r>
        <w:rPr>
          <w:rFonts w:ascii="仿宋_GB2312" w:hAnsi="仿宋_GB2312" w:cs="仿宋_GB2312" w:eastAsia="仿宋_GB2312"/>
          <w:sz w:val="28"/>
          <w:b/>
        </w:rPr>
        <w:t>陕西文徽煜德项目管理有限公司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陕西文徽煜德项目管理有限公司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铜川市耀州区看守所</w:t>
      </w:r>
      <w:r>
        <w:rPr>
          <w:rFonts w:ascii="仿宋_GB2312" w:hAnsi="仿宋_GB2312" w:cs="仿宋_GB2312" w:eastAsia="仿宋_GB2312"/>
        </w:rPr>
        <w:t>委托，拟对</w:t>
      </w:r>
      <w:r>
        <w:rPr>
          <w:rFonts w:ascii="仿宋_GB2312" w:hAnsi="仿宋_GB2312" w:cs="仿宋_GB2312" w:eastAsia="仿宋_GB2312"/>
        </w:rPr>
        <w:t>修缮改造项目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WHYDZCD-202602-003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修缮改造项目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公安部监管局要求，对监室卫生间实施封闭隔离，实现适温水进监室，对现用12间监室进行墙改梁改造，合并为6间监室，以实现单人单铺。修葺污水池及更换排污管道，监区内外墙及办公楼粉刷，具体内容详见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采购包1（铜川市耀州区看守所修缮改造项目）：属于专门面向中小企业采购。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1、供应商主体资格证明文件：供应商具有独立承担民事责任能力的法人、其他组织或自然人，提供合法有效的统一社会信用代码营业执照（事业单位提供法人证书，自然人提供身份证）。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身份证明或法定代表人授权委托书：法定代表人授权委托书（附法定代表人身份证复印件）及被授权人身份证（法定代表人直接参加投标只须提供法定代表人身份证明及身份证原件）；格式详见附件</w:t>
      </w:r>
    </w:p>
    <w:p>
      <w:pPr>
        <w:pStyle w:val="null3"/>
      </w:pPr>
      <w:r>
        <w:rPr>
          <w:rFonts w:ascii="仿宋_GB2312" w:hAnsi="仿宋_GB2312" w:cs="仿宋_GB2312" w:eastAsia="仿宋_GB2312"/>
        </w:rPr>
        <w:t>3、财务状况报告：以下三条任选一条即可 1）提供2024年或2025年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2）其开标前三个月内基本开户银行出具的资信证明（须附基本账户信息证明）； 3）政府采购信用担保机构出具的投标担保函；</w:t>
      </w:r>
    </w:p>
    <w:p>
      <w:pPr>
        <w:pStyle w:val="null3"/>
      </w:pPr>
      <w:r>
        <w:rPr>
          <w:rFonts w:ascii="仿宋_GB2312" w:hAnsi="仿宋_GB2312" w:cs="仿宋_GB2312" w:eastAsia="仿宋_GB2312"/>
        </w:rPr>
        <w:t>4、税收缴纳证明：提供磋商响应文件递交截止时间前一年内已缴纳的至少一个月的有效缴税凭证；依法免税的供应商应提供相关文件证明。</w:t>
      </w:r>
    </w:p>
    <w:p>
      <w:pPr>
        <w:pStyle w:val="null3"/>
      </w:pPr>
      <w:r>
        <w:rPr>
          <w:rFonts w:ascii="仿宋_GB2312" w:hAnsi="仿宋_GB2312" w:cs="仿宋_GB2312" w:eastAsia="仿宋_GB2312"/>
        </w:rPr>
        <w:t>5、社会保障资金缴纳证明：提供磋商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6、具有履行合同所必需的设备和专业技术能力：提供具有履行合同所必需的设备和专业技术能力的承诺</w:t>
      </w:r>
    </w:p>
    <w:p>
      <w:pPr>
        <w:pStyle w:val="null3"/>
      </w:pPr>
      <w:r>
        <w:rPr>
          <w:rFonts w:ascii="仿宋_GB2312" w:hAnsi="仿宋_GB2312" w:cs="仿宋_GB2312" w:eastAsia="仿宋_GB2312"/>
        </w:rPr>
        <w:t>7、无重大违法记录声明：提供参加政府采购活动前三年内，在经营活动中没有重大违法记录的书面声明</w:t>
      </w:r>
    </w:p>
    <w:p>
      <w:pPr>
        <w:pStyle w:val="null3"/>
      </w:pPr>
      <w:r>
        <w:rPr>
          <w:rFonts w:ascii="仿宋_GB2312" w:hAnsi="仿宋_GB2312" w:cs="仿宋_GB2312" w:eastAsia="仿宋_GB2312"/>
        </w:rPr>
        <w:t>8、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提供承诺，实际信用以开标当天代理机构查询的结果为准</w:t>
      </w:r>
    </w:p>
    <w:p>
      <w:pPr>
        <w:pStyle w:val="null3"/>
      </w:pPr>
      <w:r>
        <w:rPr>
          <w:rFonts w:ascii="仿宋_GB2312" w:hAnsi="仿宋_GB2312" w:cs="仿宋_GB2312" w:eastAsia="仿宋_GB2312"/>
        </w:rPr>
        <w:t>9、资质要求：供应商须具备建设行政主管部门颁发的建筑工程施工总承包三级以上（含三级）资质，并具有有效的安全生产许可证（提供证书或证件）。</w:t>
      </w:r>
    </w:p>
    <w:p>
      <w:pPr>
        <w:pStyle w:val="null3"/>
      </w:pPr>
      <w:r>
        <w:rPr>
          <w:rFonts w:ascii="仿宋_GB2312" w:hAnsi="仿宋_GB2312" w:cs="仿宋_GB2312" w:eastAsia="仿宋_GB2312"/>
        </w:rPr>
        <w:t>10、拟派项目负责人：须具备建筑工程专业二级以上（含二级），提供注册建造师执业资格及有效的安全生产考核合格证（建安B证），在本单位注册（提供证书或在本单位缴纳社保证明），且无在建项目（提供承诺）。</w:t>
      </w:r>
    </w:p>
    <w:p>
      <w:pPr>
        <w:pStyle w:val="null3"/>
      </w:pPr>
      <w:r>
        <w:rPr>
          <w:rFonts w:ascii="仿宋_GB2312" w:hAnsi="仿宋_GB2312" w:cs="仿宋_GB2312" w:eastAsia="仿宋_GB2312"/>
        </w:rPr>
        <w:t>11、非联合体投标：本项目不接受联合体投标，提供承诺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铜川市耀州区看守所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铜川市耀州区青岗岭</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18992919727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陕西文徽煜德项目管理有限公司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陕西省铜川市耀州区陕西省铜川市新区大耀城东区一单元2702室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0919-2133888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采购包1：954,443.33元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代理服务费收费标准：按照陕西省网上中介服务超市选取通知书金额9400.00元收取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铜川市耀州区看守所</w:t>
      </w:r>
      <w:r>
        <w:rPr>
          <w:rFonts w:ascii="仿宋_GB2312" w:hAnsi="仿宋_GB2312" w:cs="仿宋_GB2312" w:eastAsia="仿宋_GB2312"/>
        </w:rPr>
        <w:t>和</w:t>
      </w:r>
      <w:r>
        <w:rPr>
          <w:rFonts w:ascii="仿宋_GB2312" w:hAnsi="仿宋_GB2312" w:cs="仿宋_GB2312" w:eastAsia="仿宋_GB2312"/>
        </w:rPr>
        <w:t>陕西文徽煜德项目管理有限公司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铜川市耀州区看守所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陕西文徽煜德项目管理有限公司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铜川市耀州区看守所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陕西文徽煜德项目管理有限公司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符合行业主管部门规定的标准和方法。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陕西文徽煜德项目管理有限公司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联系人：宋文娟</w:t>
      </w:r>
    </w:p>
    <w:p>
      <w:pPr>
        <w:pStyle w:val="null3"/>
      </w:pPr>
      <w:r>
        <w:rPr>
          <w:rFonts w:ascii="仿宋_GB2312" w:hAnsi="仿宋_GB2312" w:cs="仿宋_GB2312" w:eastAsia="仿宋_GB2312"/>
        </w:rPr>
        <w:t>联系电话：0919-2133888</w:t>
      </w:r>
    </w:p>
    <w:p>
      <w:pPr>
        <w:pStyle w:val="null3"/>
      </w:pPr>
      <w:r>
        <w:rPr>
          <w:rFonts w:ascii="仿宋_GB2312" w:hAnsi="仿宋_GB2312" w:cs="仿宋_GB2312" w:eastAsia="仿宋_GB2312"/>
        </w:rPr>
        <w:t>地址：陕西省铜川市新区大耀城东区一单元2702室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954,443.33</w:t>
      </w:r>
    </w:p>
    <w:p>
      <w:pPr>
        <w:pStyle w:val="null3"/>
      </w:pPr>
      <w:r>
        <w:rPr>
          <w:rFonts w:ascii="仿宋_GB2312" w:hAnsi="仿宋_GB2312" w:cs="仿宋_GB2312" w:eastAsia="仿宋_GB2312"/>
        </w:rPr>
        <w:t>采购包最高限价（元）: 954,443.33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看守所修缮改造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954,443.33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标的名称：看守所修缮改造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报价编制内容及要求</w:t>
            </w:r>
          </w:p>
          <w:p>
            <w:pPr>
              <w:pStyle w:val="null3"/>
            </w:pPr>
            <w:r>
              <w:rPr>
                <w:rFonts w:ascii="仿宋_GB2312" w:hAnsi="仿宋_GB2312" w:cs="仿宋_GB2312" w:eastAsia="仿宋_GB2312"/>
              </w:rPr>
              <w:t>一、编制范围</w:t>
            </w:r>
          </w:p>
          <w:p>
            <w:pPr>
              <w:pStyle w:val="null3"/>
            </w:pPr>
            <w:r>
              <w:rPr>
                <w:rFonts w:ascii="仿宋_GB2312" w:hAnsi="仿宋_GB2312" w:cs="仿宋_GB2312" w:eastAsia="仿宋_GB2312"/>
              </w:rPr>
              <w:t>磋商文件清单的全部内容。</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陕西省工程建设标准《建设工程工程量清单计价标准》（</w:t>
            </w:r>
            <w:r>
              <w:rPr>
                <w:rFonts w:ascii="仿宋_GB2312" w:hAnsi="仿宋_GB2312" w:cs="仿宋_GB2312" w:eastAsia="仿宋_GB2312"/>
              </w:rPr>
              <w:t>DB61/T 5126-2025）、《房屋建筑与装饰工程工程量计算标准》（DB61/T 5129-2025）、《通用安装工程工程量计算标准》（DB61/T 5130-2025）、《市政工程工程量计算标准》（DB61/T 5128-2025）、《园林绿化工程工程量计算标准》（DB61/T 5131-2025）、《陕西省建设工程费用规则》（2025）、《陕西省建设工程施工机械台班费用定额》（2025）、《陕西省建设工程施工仪器仪表台班费用定额》（2025）、《陕西省房屋建筑与装饰工程消耗量定额》（2025）、《陕西省通用安装工程消耗量定额》（2025）、《陕西省市政工程消耗量定额》（2025）、《陕西省园林绿化工程消耗量定额》（2025）、《陕西省房屋建筑与装饰工程基价表》（2025）、《陕西省通用安装工程基价表》（2025）、《陕西省市政工程基价表》（2025）、《陕西省园林绿化工程基价表》（2025）及其他相关文件，自主报价。</w:t>
            </w:r>
          </w:p>
          <w:p>
            <w:pPr>
              <w:pStyle w:val="null3"/>
            </w:pPr>
            <w:r>
              <w:rPr>
                <w:rFonts w:ascii="仿宋_GB2312" w:hAnsi="仿宋_GB2312" w:cs="仿宋_GB2312" w:eastAsia="仿宋_GB2312"/>
              </w:rPr>
              <w:t>三、有关说明</w:t>
            </w:r>
          </w:p>
          <w:p>
            <w:pPr>
              <w:pStyle w:val="null3"/>
            </w:pPr>
            <w:r>
              <w:rPr>
                <w:rFonts w:ascii="仿宋_GB2312" w:hAnsi="仿宋_GB2312" w:cs="仿宋_GB2312" w:eastAsia="仿宋_GB2312"/>
              </w:rPr>
              <w:t>1、广联达版本：7.5000.23.2；</w:t>
            </w:r>
          </w:p>
          <w:p>
            <w:pPr>
              <w:pStyle w:val="null3"/>
            </w:pPr>
            <w:r>
              <w:rPr>
                <w:rFonts w:ascii="仿宋_GB2312" w:hAnsi="仿宋_GB2312" w:cs="仿宋_GB2312" w:eastAsia="仿宋_GB2312"/>
              </w:rPr>
              <w:t>四、工期：自合同签订之日起100日历天内</w:t>
            </w:r>
          </w:p>
          <w:p>
            <w:pPr>
              <w:pStyle w:val="null3"/>
            </w:pPr>
            <w:r>
              <w:rPr>
                <w:rFonts w:ascii="仿宋_GB2312" w:hAnsi="仿宋_GB2312" w:cs="仿宋_GB2312" w:eastAsia="仿宋_GB2312"/>
              </w:rPr>
              <w:t xml:space="preserve">    质量要求：符合工程质量验收标准规定，验收合格。</w:t>
            </w:r>
          </w:p>
          <w:p>
            <w:pPr>
              <w:pStyle w:val="null3"/>
            </w:pPr>
            <w:r>
              <w:rPr>
                <w:rFonts w:ascii="仿宋_GB2312" w:hAnsi="仿宋_GB2312" w:cs="仿宋_GB2312" w:eastAsia="仿宋_GB2312"/>
                <w:sz w:val="21"/>
              </w:rPr>
              <w:t xml:space="preserve">   缺陷责任期：验收合格之日起1年。</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按照国家及行业相关标准执行。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1.工程建设过程中所发生的安全事故、人身财产损害或对第三方造成的财产损失均由成交供应商承担。 2.所有材料必须使用合格产品。 3.项目实施过程中应对看守所原有成品、办公家具等采用彩条布、塑料薄膜等进行覆盖及保护。 4.施工单位应及时清运施工过程中产生的建筑垃圾，如未及时清理，存在潜在风险造成的安全事故及损失由施工单位承担。 5.项目实施过程中所有破环的建筑装修装饰、元器件等均按原标准予以恢复。 6.工程完毕后需对现场进行完全保洁，保洁标准达到采购人需求。7.对本项目的现场施工情况及环境保密。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（1）工程量清单详见附件，供应商应充分考虑磋商文件的各项条款和掌握的市场情况结合本项目实际情况采取自主报价，单价包含项目名称描述的所有工作内容的一切费用。 （2）计划工期： 合同签订后100日历天内 （3）质量标准：满足现行《建筑与市政工程施工质量控制通用规范》及国家及地区的相关标准的要求，质量验收合格。 （4）工程地点：铜川市耀州区看守所 （5）质保期：参照国家标准或行业惯例执行。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关于财务会计制度的证明材料（以下三条任选一条即可） 1）提供2024年或2025年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2）其开标前三个月内基本开户银行出具的资信证明（须附基本账户信息证明）； 3）政府采购信用担保机构出具的投标担保函；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法定代表人授权委托书（附法定代表人身份证复印件）及被授权人身份证（法定代表人直接参加投标只须提供法定代表人身份证明及身份证原件）；格式详见附件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以下三条任选一条即可 1）提供2024年或2025年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2）其开标前三个月内基本开户银行出具的资信证明（须附基本账户信息证明）； 3）政府采购信用担保机构出具的投标担保函；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提供磋商响应文件递交截止时间前一年内已缴纳的至少一个月的有效缴税凭证；依法免税的供应商应提供相关文件证明。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供应商提供承诺，实际信用以开标当天代理机构查询的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供应商须具备建设行政主管部门颁发的建筑工程施工总承包三级以上（含三级）资质，并具有有效的安全生产许可证（提供证书或证件）。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须具备建筑工程专业二级以上（含二级），提供注册建造师执业资格及有效的安全生产考核合格证（建安B证），在本单位注册（提供证书或在本单位缴纳社保证明），且无在建项目（提供承诺）。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中小企业声明函 残疾人福利性单位声明函 报价函 技术服务合同条款及其他商务要求应答表 供应商应提交的相关资格证明材料 标的清单 响应函 供应商承诺书.docx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同时满足以下条款：（1）货币单位符合磋商文件要求；（2）报价符合唯一性要求；（3）未超出采购预算或最高限价；（4）符合《报价函》、《已标价工程量清单》及《标的清单》的填报要求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签署《质量安全责任承诺书》、《拒绝政府采购领域商业贿赂承诺书》。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以及《合同文本》条款的要求，且未有采购人不能接受的附加条件的。结合磋商文件第3章“磋商项目技术、服务、商务要求”及“拟签订合同文本”的实质性要求且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强制优先采购产品承诺函</w:t>
            </w:r>
          </w:p>
        </w:tc>
        <w:tc>
          <w:tcPr>
            <w:tcW w:type="dxa" w:w="3322"/>
          </w:tcPr>
          <w:p>
            <w:pPr>
              <w:pStyle w:val="null3"/>
            </w:pPr>
            <w:r>
              <w:rPr>
                <w:rFonts w:ascii="仿宋_GB2312" w:hAnsi="仿宋_GB2312" w:cs="仿宋_GB2312" w:eastAsia="仿宋_GB2312"/>
              </w:rPr>
              <w:t>提供《强制优先采购产品承诺函》，且符合磋商文件及相关文件规定的要求。</w:t>
            </w:r>
          </w:p>
        </w:tc>
        <w:tc>
          <w:tcPr>
            <w:tcW w:type="dxa" w:w="1661"/>
          </w:tcPr>
          <w:p>
            <w:pPr>
              <w:pStyle w:val="null3"/>
            </w:pPr>
            <w:r>
              <w:rPr>
                <w:rFonts w:ascii="仿宋_GB2312" w:hAnsi="仿宋_GB2312" w:cs="仿宋_GB2312" w:eastAsia="仿宋_GB2312"/>
              </w:rPr>
              <w:t>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1.具有针对本项目的施工方案，施工顺序安排合理、可行，对本项目特点、难点有充分的认识及对策的得8分； 2.施工方案、施工顺序安排较为合理、可行，对本项目特点、难点的认识及对策较为合理的得6分； 3.施工方案、施工顺序安排基本合理、可行，对本项目特点、难点的认识及对策内容简单基本合理的得4分； 4.施工方案提供内容不全或内容简单有欠缺,未贴合实际的得2分。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1.质量保证措施合理、可行性强得6分； 2.质量保证措施较合理、可行性较强得5分； 3.质量保证措施基本合理、可行性一般得4分； 4.质量保证措施不甚合理、可行性差得2分。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1.安全生产保证措施合理、可行性强得6分； 2.安全生产保证措施较合理、可行性较强得5分； 3.安全生产保证措施基本合理、可行性一般得4分； 4.安全生产保证措施不甚合理、可行性差得2分。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1.文明施工计划全面，组织措施科学合理，环境卫生管理制度完善，责任清晰、措施到位得6分； 2.文明施工计划较全面，组织措施基本科学合理，环境卫生管理制度较完善，责任有划分、措施基本合理得4分； 3.确保文明施工的技术组织措施及施工环境保护措施提供内容不全或内容简单有欠缺，未贴合实际的得2分。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项目团队管理及主要人员配置情况</w:t>
            </w:r>
          </w:p>
        </w:tc>
        <w:tc>
          <w:tcPr>
            <w:tcW w:type="dxa" w:w="2492"/>
          </w:tcPr>
          <w:p>
            <w:pPr>
              <w:pStyle w:val="null3"/>
            </w:pPr>
            <w:r>
              <w:rPr>
                <w:rFonts w:ascii="仿宋_GB2312" w:hAnsi="仿宋_GB2312" w:cs="仿宋_GB2312" w:eastAsia="仿宋_GB2312"/>
              </w:rPr>
              <w:t>1.项目经理部人员组成合理，分工明确，完全满足施工需要得10分； 2.项目经理部人员组成较合理，分工较明确，能满足施工需要得7分； 3.项目经理部人员组成基本合理，分工基本明确，基本能满足施工需要得4分； 4.项目经理部人员组成不甚合理，分工不明确，不能满足施工需要得2分。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有保证工期的技术措施、组织措施及施工进度安排。措施是否完备齐全、先进、合理、切实可行。 1.方案及措施内容完整详尽、科学合理、切实可行、针对性强，完全满足施工要求得6分； 2.方案及措施基本完整、较合理可行、针对性不强、基本满足施工要求得4分； 3.方案及措施简单、不能完全满足施工要求得2分； 4.未提供得0分。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施工材料投入计划、机械设备配备计划及劳动力投入计划</w:t>
            </w:r>
          </w:p>
        </w:tc>
        <w:tc>
          <w:tcPr>
            <w:tcW w:type="dxa" w:w="2492"/>
          </w:tcPr>
          <w:p>
            <w:pPr>
              <w:pStyle w:val="null3"/>
            </w:pPr>
            <w:r>
              <w:rPr>
                <w:rFonts w:ascii="仿宋_GB2312" w:hAnsi="仿宋_GB2312" w:cs="仿宋_GB2312" w:eastAsia="仿宋_GB2312"/>
              </w:rPr>
              <w:t>1. 施工机械配置（2分） 设备齐全、满足工期、维保到位：2分； 基本满足：1分； 不足：0分。 2. 材料保障方案（2分） 来源可靠、质量可控、进场计划完善：2分； 一般：1分； 无明确方案：0分。 3. 劳动力组织（2分） 人员充足、专业配套、管理到位：2分； 基本满足：1分； 不足：0分。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施工单位应用的技术、产品、工艺、材料等先进科学，并有合理的施工现场扬尘预防措施。 1.方案及措施内容完整详尽、科学合理、切实可行、针对性强，完全满足施工要求得4分； 2.方案及措施基本完整、较合理可行、针对性不强、基本满足施工要求得2分； 3.方案及措施简单、不能完全满足施工要求得1分； 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保修期服务方案</w:t>
            </w:r>
          </w:p>
        </w:tc>
        <w:tc>
          <w:tcPr>
            <w:tcW w:type="dxa" w:w="2492"/>
          </w:tcPr>
          <w:p>
            <w:pPr>
              <w:pStyle w:val="null3"/>
            </w:pPr>
            <w:r>
              <w:rPr>
                <w:rFonts w:ascii="仿宋_GB2312" w:hAnsi="仿宋_GB2312" w:cs="仿宋_GB2312" w:eastAsia="仿宋_GB2312"/>
              </w:rPr>
              <w:t>1. 保修期限承诺（4分） 满足法定保修期限（至少1年）得2分，每延长1年加1分，最高4分。 2. 保修范围与责任（3分） 完整清晰3分，基本完整2分，不全1分，无0分。 3. 响应与处置时效（3分） - 紧急30分钟响应、2小时到场，一般当天处置：3分 - 1小时响应、4小时到场：2分 - 大于1小时响应、4小时到场：1分 -无响应：0分 4. 维修质量保障（2分） 一次修复率高、质量可控2分，一般1分，无标准0分。 5. 回访与应急（2分） 有回访+应急2分，缺一项1分，均无0分。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供应商提供2023年1月至今（以合同签订日期为准）改造项目施工业绩（业绩内容含装饰装修或加固），每提供一个有效业绩计2分，满分4分。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评审基准价：满足磋商文件要求且磋商报价最低的报价为磋商基准价。 得分：报价得分=(评审基准价／最后报价)×30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