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版本号：ZCSP-耀州区-2026-00015、XHLJZC-TC2026-01020260212002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铜川市耀州区义务教育阶段农村寄宿制学校校车服务项目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ZCSP-耀州区-2026-00015、XHLJZC-TC2026-010</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铜川市耀州区义务教育阶段农村寄宿制学校校车服务项目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ZCSP-耀州区-2026-00015、XHLJZC-TC2026-010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铜川市耀州区义务教育阶段农村寄宿制学校校车服务项目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铜川市耀州区义务教育阶段农村寄宿制学校校车服务，详见磋商文件。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采购包1（铜川市耀州区教育体育局铜川市耀州区义务教育阶段农村寄宿制学校校车服务项目）：属于专门面向中小企业采购。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并通过会计师行业统一监管平台备案赋码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2025年1月以来任意3个月依法缴纳税收和社会保险的相关证明材料；注：依法免税或不需要缴纳社会保险的供应商提供相关部门出具的证明文件。（以税款所属时期为准）</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8、声明函：提供《中小企业声明函》；监狱企业应提供监狱企业相关资格证明材料；残疾人福利性单位应提供《残疾人福利性单位声明函》。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代理服务费收费标准：由成交供应商支付代理服务费人民币壹万玖仟元整（¥19000.00元）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铜川市耀州区义务教育阶段农村寄宿制学校校车服务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铜川市耀州区义务教育阶段农村寄宿制学校校车服务项目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标的名称：铜川市耀州区义务教育阶段农村寄宿制学校校车服务项目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一、服务范围</w:t>
            </w:r>
          </w:p>
          <w:p>
            <w:pPr>
              <w:pStyle w:val="null3"/>
              <w:ind w:firstLine="480"/>
              <w:jc w:val="both"/>
            </w:pPr>
            <w:r>
              <w:rPr>
                <w:rFonts w:ascii="仿宋_GB2312" w:hAnsi="仿宋_GB2312" w:cs="仿宋_GB2312" w:eastAsia="仿宋_GB2312"/>
                <w:sz w:val="21"/>
              </w:rPr>
              <w:t>1.服务对象。全区农村寄宿制学校需校车服务的学生。</w:t>
            </w:r>
          </w:p>
          <w:p>
            <w:pPr>
              <w:pStyle w:val="null3"/>
              <w:ind w:firstLine="480"/>
              <w:jc w:val="both"/>
            </w:pPr>
            <w:r>
              <w:rPr>
                <w:rFonts w:ascii="仿宋_GB2312" w:hAnsi="仿宋_GB2312" w:cs="仿宋_GB2312" w:eastAsia="仿宋_GB2312"/>
                <w:sz w:val="21"/>
              </w:rPr>
              <w:t>2.服务区域。覆盖全区行政区域内各中小学辐射的学生居住片区，具体线路根据学校分布、学生住址等情况优化设定。</w:t>
            </w:r>
          </w:p>
          <w:p>
            <w:pPr>
              <w:pStyle w:val="null3"/>
              <w:ind w:firstLine="480"/>
              <w:jc w:val="both"/>
            </w:pPr>
            <w:r>
              <w:rPr>
                <w:rFonts w:ascii="仿宋_GB2312" w:hAnsi="仿宋_GB2312" w:cs="仿宋_GB2312" w:eastAsia="仿宋_GB2312"/>
                <w:sz w:val="21"/>
              </w:rPr>
              <w:t>3.服务车辆。全区“市配县管”符合国家标准的专用校车，20座8辆，37座6辆，56座2辆，31座1辆。</w:t>
            </w:r>
          </w:p>
          <w:p>
            <w:pPr>
              <w:pStyle w:val="null3"/>
              <w:ind w:firstLine="480"/>
              <w:jc w:val="both"/>
            </w:pPr>
            <w:r>
              <w:rPr>
                <w:rFonts w:ascii="仿宋_GB2312" w:hAnsi="仿宋_GB2312" w:cs="仿宋_GB2312" w:eastAsia="仿宋_GB2312"/>
                <w:sz w:val="21"/>
              </w:rPr>
              <w:t>4.服务内容。按照“六定”（定时间、定车辆、定地点、定人员、定线路、定责任）原则，提供学生上放学接送服务，包含车辆管理、人员管理、安全保障、应急处置等全流程服务。</w:t>
            </w:r>
          </w:p>
          <w:p>
            <w:pPr>
              <w:pStyle w:val="null3"/>
              <w:jc w:val="both"/>
            </w:pPr>
            <w:r>
              <w:rPr>
                <w:rFonts w:ascii="仿宋_GB2312" w:hAnsi="仿宋_GB2312" w:cs="仿宋_GB2312" w:eastAsia="仿宋_GB2312"/>
                <w:sz w:val="21"/>
                <w:b/>
              </w:rPr>
              <w:t>二、招标内容及服务标准</w:t>
            </w:r>
          </w:p>
          <w:p>
            <w:pPr>
              <w:pStyle w:val="null3"/>
              <w:jc w:val="both"/>
            </w:pPr>
            <w:r>
              <w:rPr>
                <w:rFonts w:ascii="仿宋_GB2312" w:hAnsi="仿宋_GB2312" w:cs="仿宋_GB2312" w:eastAsia="仿宋_GB2312"/>
                <w:sz w:val="21"/>
              </w:rPr>
              <w:t>（一）车辆管理标准</w:t>
            </w:r>
          </w:p>
          <w:p>
            <w:pPr>
              <w:pStyle w:val="null3"/>
              <w:ind w:firstLine="480"/>
              <w:jc w:val="both"/>
            </w:pPr>
            <w:r>
              <w:rPr>
                <w:rFonts w:ascii="仿宋_GB2312" w:hAnsi="仿宋_GB2312" w:cs="仿宋_GB2312" w:eastAsia="仿宋_GB2312"/>
                <w:sz w:val="21"/>
              </w:rPr>
              <w:t>1.校车标识鲜明，张贴校车标牌，公示服务线路、停靠站点、运营时间及监督投诉电话。</w:t>
            </w:r>
          </w:p>
          <w:p>
            <w:pPr>
              <w:pStyle w:val="null3"/>
              <w:ind w:firstLine="480"/>
              <w:jc w:val="both"/>
            </w:pPr>
            <w:r>
              <w:rPr>
                <w:rFonts w:ascii="仿宋_GB2312" w:hAnsi="仿宋_GB2312" w:cs="仿宋_GB2312" w:eastAsia="仿宋_GB2312"/>
                <w:sz w:val="21"/>
              </w:rPr>
              <w:t>2.建立“一日三检”（出车前检查、行驶中巡查、收车后复检）制度，确保车辆制动、转向、灯光、轮胎等关键部位正常；</w:t>
            </w:r>
          </w:p>
          <w:p>
            <w:pPr>
              <w:pStyle w:val="null3"/>
              <w:ind w:firstLine="480"/>
              <w:jc w:val="both"/>
            </w:pPr>
            <w:r>
              <w:rPr>
                <w:rFonts w:ascii="仿宋_GB2312" w:hAnsi="仿宋_GB2312" w:cs="仿宋_GB2312" w:eastAsia="仿宋_GB2312"/>
                <w:sz w:val="21"/>
              </w:rPr>
              <w:t>3.每月开展1次全面安全检测，每季度进行1次安全性能鉴定，每半年进行1次机动车安全技术检验，取得校车标牌。校车维保需在二类及以上资质维修企业进行，建立完整的车辆维保档案。</w:t>
            </w:r>
          </w:p>
          <w:p>
            <w:pPr>
              <w:pStyle w:val="null3"/>
              <w:ind w:firstLine="480"/>
              <w:jc w:val="both"/>
            </w:pPr>
            <w:r>
              <w:rPr>
                <w:rFonts w:ascii="仿宋_GB2312" w:hAnsi="仿宋_GB2312" w:cs="仿宋_GB2312" w:eastAsia="仿宋_GB2312"/>
                <w:sz w:val="21"/>
              </w:rPr>
              <w:t>4.每辆校车需投保机动车交通事故责任强制保险、机动车损失险、第三者责任险（保额不低于100万元）、承运人责任险（每座位保额不低于100万元），确保保险全覆盖、无遗漏。</w:t>
            </w:r>
          </w:p>
          <w:p>
            <w:pPr>
              <w:pStyle w:val="null3"/>
              <w:ind w:firstLine="480"/>
              <w:jc w:val="both"/>
            </w:pPr>
            <w:r>
              <w:rPr>
                <w:rFonts w:ascii="仿宋_GB2312" w:hAnsi="仿宋_GB2312" w:cs="仿宋_GB2312" w:eastAsia="仿宋_GB2312"/>
                <w:sz w:val="21"/>
              </w:rPr>
              <w:t>5.具备完善的校车动态系统，能实现GPS定位、视频实时监控、速度限制等功能，接受监管部门全程监督。</w:t>
            </w:r>
          </w:p>
          <w:p>
            <w:pPr>
              <w:pStyle w:val="null3"/>
              <w:ind w:firstLine="480"/>
              <w:jc w:val="both"/>
            </w:pPr>
            <w:r>
              <w:rPr>
                <w:rFonts w:ascii="仿宋_GB2312" w:hAnsi="仿宋_GB2312" w:cs="仿宋_GB2312" w:eastAsia="仿宋_GB2312"/>
                <w:sz w:val="21"/>
              </w:rPr>
              <w:t>6.假期校车集中停放，严禁租赁外借；日常非运营期间，不得参与任何形式的运营工作，若特殊需要公司需向区教体局提出校车使用申请，经主管领导审批后方可接送学生。</w:t>
            </w:r>
          </w:p>
          <w:p>
            <w:pPr>
              <w:pStyle w:val="null3"/>
              <w:jc w:val="both"/>
            </w:pPr>
            <w:r>
              <w:rPr>
                <w:rFonts w:ascii="仿宋_GB2312" w:hAnsi="仿宋_GB2312" w:cs="仿宋_GB2312" w:eastAsia="仿宋_GB2312"/>
                <w:sz w:val="21"/>
              </w:rPr>
              <w:t>（二）人员管理标准</w:t>
            </w:r>
          </w:p>
          <w:p>
            <w:pPr>
              <w:pStyle w:val="null3"/>
              <w:ind w:firstLine="480"/>
              <w:jc w:val="both"/>
            </w:pPr>
            <w:r>
              <w:rPr>
                <w:rFonts w:ascii="仿宋_GB2312" w:hAnsi="仿宋_GB2312" w:cs="仿宋_GB2312" w:eastAsia="仿宋_GB2312"/>
                <w:sz w:val="21"/>
              </w:rPr>
              <w:t>1.配备的校车驾驶人员应符合《校车安全管理条例》第四章第二十三条的规定：</w:t>
            </w:r>
          </w:p>
          <w:p>
            <w:pPr>
              <w:pStyle w:val="null3"/>
              <w:ind w:firstLine="480"/>
              <w:jc w:val="both"/>
            </w:pPr>
            <w:r>
              <w:rPr>
                <w:rFonts w:ascii="仿宋_GB2312" w:hAnsi="仿宋_GB2312" w:cs="仿宋_GB2312" w:eastAsia="仿宋_GB2312"/>
                <w:sz w:val="21"/>
              </w:rPr>
              <w:t>（1）取得相应准驾车型驾驶证并具有3年以上驾驶经历，年龄在25周岁以上、不超过60周岁；</w:t>
            </w:r>
          </w:p>
          <w:p>
            <w:pPr>
              <w:pStyle w:val="null3"/>
              <w:ind w:firstLine="480"/>
              <w:jc w:val="both"/>
            </w:pPr>
            <w:r>
              <w:rPr>
                <w:rFonts w:ascii="仿宋_GB2312" w:hAnsi="仿宋_GB2312" w:cs="仿宋_GB2312" w:eastAsia="仿宋_GB2312"/>
                <w:sz w:val="21"/>
              </w:rPr>
              <w:t>（2）最近连续3个记分周期内没有被记满分记录；</w:t>
            </w:r>
          </w:p>
          <w:p>
            <w:pPr>
              <w:pStyle w:val="null3"/>
              <w:ind w:firstLine="480"/>
              <w:jc w:val="both"/>
            </w:pPr>
            <w:r>
              <w:rPr>
                <w:rFonts w:ascii="仿宋_GB2312" w:hAnsi="仿宋_GB2312" w:cs="仿宋_GB2312" w:eastAsia="仿宋_GB2312"/>
                <w:sz w:val="21"/>
              </w:rPr>
              <w:t>（3）无致人死亡或者重伤的交通事故责任记录；</w:t>
            </w:r>
          </w:p>
          <w:p>
            <w:pPr>
              <w:pStyle w:val="null3"/>
              <w:ind w:firstLine="480"/>
              <w:jc w:val="both"/>
            </w:pPr>
            <w:r>
              <w:rPr>
                <w:rFonts w:ascii="仿宋_GB2312" w:hAnsi="仿宋_GB2312" w:cs="仿宋_GB2312" w:eastAsia="仿宋_GB2312"/>
                <w:sz w:val="21"/>
              </w:rPr>
              <w:t>（4）无饮酒后驾驶或者醉酒驾驶机动车记录，最近1年内无驾驶客运车辆超员、超速等严重交通违法行为记录；</w:t>
            </w:r>
          </w:p>
          <w:p>
            <w:pPr>
              <w:pStyle w:val="null3"/>
              <w:ind w:firstLine="480"/>
              <w:jc w:val="both"/>
            </w:pPr>
            <w:r>
              <w:rPr>
                <w:rFonts w:ascii="仿宋_GB2312" w:hAnsi="仿宋_GB2312" w:cs="仿宋_GB2312" w:eastAsia="仿宋_GB2312"/>
                <w:sz w:val="21"/>
              </w:rPr>
              <w:t>（5）无犯罪记录；</w:t>
            </w:r>
          </w:p>
          <w:p>
            <w:pPr>
              <w:pStyle w:val="null3"/>
              <w:ind w:firstLine="480"/>
              <w:jc w:val="both"/>
            </w:pPr>
            <w:r>
              <w:rPr>
                <w:rFonts w:ascii="仿宋_GB2312" w:hAnsi="仿宋_GB2312" w:cs="仿宋_GB2312" w:eastAsia="仿宋_GB2312"/>
                <w:sz w:val="21"/>
              </w:rPr>
              <w:t>（6）身心健康，无传染性疾病，无癫痫、精神病等可能危及行车安全的疾病病史，无酗酒、吸毒行为记录。</w:t>
            </w:r>
          </w:p>
          <w:p>
            <w:pPr>
              <w:pStyle w:val="null3"/>
              <w:ind w:firstLine="480"/>
              <w:jc w:val="both"/>
            </w:pPr>
            <w:r>
              <w:rPr>
                <w:rFonts w:ascii="仿宋_GB2312" w:hAnsi="仿宋_GB2312" w:cs="仿宋_GB2312" w:eastAsia="仿宋_GB2312"/>
                <w:sz w:val="21"/>
              </w:rPr>
              <w:t>2.配备随车照管人员，随车照管人员需经专业培训，掌握基本急救知识和学生照管技能。</w:t>
            </w:r>
          </w:p>
          <w:p>
            <w:pPr>
              <w:pStyle w:val="null3"/>
              <w:ind w:firstLine="480"/>
              <w:jc w:val="both"/>
            </w:pPr>
            <w:r>
              <w:rPr>
                <w:rFonts w:ascii="仿宋_GB2312" w:hAnsi="仿宋_GB2312" w:cs="仿宋_GB2312" w:eastAsia="仿宋_GB2312"/>
                <w:sz w:val="21"/>
              </w:rPr>
              <w:t>3.建立从业人员档案，包含资质证明、培训记录、考核结果、健康档案等，实行“一人一档”管理。</w:t>
            </w:r>
          </w:p>
          <w:p>
            <w:pPr>
              <w:pStyle w:val="null3"/>
              <w:ind w:firstLine="480"/>
              <w:jc w:val="both"/>
            </w:pPr>
            <w:r>
              <w:rPr>
                <w:rFonts w:ascii="仿宋_GB2312" w:hAnsi="仿宋_GB2312" w:cs="仿宋_GB2312" w:eastAsia="仿宋_GB2312"/>
                <w:sz w:val="21"/>
              </w:rPr>
              <w:t>4.每月组织1次驾驶员安全警示教育，每季度开展1次随车照管员业务培训，每年组织不少于2次驾驶员、照管员联合应急演练（含交通事故处置、学生急救、消防逃生等）；</w:t>
            </w:r>
          </w:p>
          <w:p>
            <w:pPr>
              <w:pStyle w:val="null3"/>
              <w:ind w:firstLine="480"/>
              <w:jc w:val="both"/>
            </w:pPr>
            <w:r>
              <w:rPr>
                <w:rFonts w:ascii="仿宋_GB2312" w:hAnsi="仿宋_GB2312" w:cs="仿宋_GB2312" w:eastAsia="仿宋_GB2312"/>
                <w:sz w:val="21"/>
              </w:rPr>
              <w:t>5.从业人员需遵守职业道德，着装规范、文明服务，严禁超速、超员、疲劳驾驶、酒后驾驶，随车照管员需全程监护学生上下车及乘车过程，确保学生安全。</w:t>
            </w:r>
          </w:p>
          <w:p>
            <w:pPr>
              <w:pStyle w:val="null3"/>
              <w:jc w:val="both"/>
            </w:pPr>
            <w:r>
              <w:rPr>
                <w:rFonts w:ascii="仿宋_GB2312" w:hAnsi="仿宋_GB2312" w:cs="仿宋_GB2312" w:eastAsia="仿宋_GB2312"/>
                <w:sz w:val="21"/>
              </w:rPr>
              <w:t>（三）运营服务要求</w:t>
            </w:r>
          </w:p>
          <w:p>
            <w:pPr>
              <w:pStyle w:val="null3"/>
              <w:ind w:firstLine="480"/>
              <w:jc w:val="both"/>
            </w:pPr>
            <w:r>
              <w:rPr>
                <w:rFonts w:ascii="仿宋_GB2312" w:hAnsi="仿宋_GB2312" w:cs="仿宋_GB2312" w:eastAsia="仿宋_GB2312"/>
                <w:sz w:val="21"/>
              </w:rPr>
              <w:t>1.线路规划。结合学校分布、学生住址、道路条件等，调整运力，科学调度，制定校车行驶线路，避开危险路段、施工路段及交通拥堵区域，减少运行次数，缩短乘车学生等候时间，不得随意更改线路。每学期根据学生变动情况优化调整1次。</w:t>
            </w:r>
          </w:p>
          <w:p>
            <w:pPr>
              <w:pStyle w:val="null3"/>
              <w:ind w:firstLine="480"/>
              <w:jc w:val="both"/>
            </w:pPr>
            <w:r>
              <w:rPr>
                <w:rFonts w:ascii="仿宋_GB2312" w:hAnsi="仿宋_GB2312" w:cs="仿宋_GB2312" w:eastAsia="仿宋_GB2312"/>
                <w:sz w:val="21"/>
              </w:rPr>
              <w:t>2.接送管理。严格执行</w:t>
            </w:r>
            <w:r>
              <w:rPr>
                <w:rFonts w:ascii="仿宋_GB2312" w:hAnsi="仿宋_GB2312" w:cs="仿宋_GB2312" w:eastAsia="仿宋_GB2312"/>
                <w:sz w:val="21"/>
              </w:rPr>
              <w:t>“六定”原则（定时间、定车辆、定地点、定人员、定线路、定责任）</w:t>
            </w:r>
            <w:r>
              <w:rPr>
                <w:rFonts w:ascii="仿宋_GB2312" w:hAnsi="仿宋_GB2312" w:cs="仿宋_GB2312" w:eastAsia="仿宋_GB2312"/>
                <w:sz w:val="21"/>
              </w:rPr>
              <w:t>，制定精准的接送时间表，上下车时间误差不超过10分钟，建立学生上下车交接登记制度。</w:t>
            </w:r>
          </w:p>
          <w:p>
            <w:pPr>
              <w:pStyle w:val="null3"/>
              <w:ind w:firstLine="480"/>
              <w:jc w:val="both"/>
            </w:pPr>
            <w:r>
              <w:rPr>
                <w:rFonts w:ascii="仿宋_GB2312" w:hAnsi="仿宋_GB2312" w:cs="仿宋_GB2312" w:eastAsia="仿宋_GB2312"/>
                <w:sz w:val="21"/>
              </w:rPr>
              <w:t>3.收费管理。按照《铜川市耀州区校车联席会议办公室关于收取校车乘车费用的通知》（铜耀校车联席办【2015】2号）文件精神，由校车公司向学生收取部分乘车费用，乘车费用按照乘坐社会客运车辆历程所需费用的一半收取，乘车收费标准依据2017年《耀州区客运班线价格册》。严禁擅自提高收费标准、增加收费项目。</w:t>
            </w:r>
          </w:p>
          <w:p>
            <w:pPr>
              <w:pStyle w:val="null3"/>
              <w:ind w:firstLine="480"/>
              <w:jc w:val="both"/>
            </w:pPr>
            <w:r>
              <w:rPr>
                <w:rFonts w:ascii="仿宋_GB2312" w:hAnsi="仿宋_GB2312" w:cs="仿宋_GB2312" w:eastAsia="仿宋_GB2312"/>
                <w:sz w:val="21"/>
              </w:rPr>
              <w:t>4.服务保障。每学期至少开展1次“校车安全进校园”宣传活动，向学生、家长普及乘车安全知识；设立24小时服务热线，及时回应家长咨询、投诉，投诉处理办结率需达到100%，家长满意度不低于90%。</w:t>
            </w:r>
          </w:p>
          <w:p>
            <w:pPr>
              <w:pStyle w:val="null3"/>
              <w:jc w:val="both"/>
            </w:pPr>
            <w:r>
              <w:rPr>
                <w:rFonts w:ascii="仿宋_GB2312" w:hAnsi="仿宋_GB2312" w:cs="仿宋_GB2312" w:eastAsia="仿宋_GB2312"/>
                <w:sz w:val="21"/>
              </w:rPr>
              <w:t>（四）安全与应急标准</w:t>
            </w:r>
          </w:p>
          <w:p>
            <w:pPr>
              <w:pStyle w:val="null3"/>
              <w:ind w:firstLine="480"/>
              <w:jc w:val="both"/>
            </w:pPr>
            <w:r>
              <w:rPr>
                <w:rFonts w:ascii="仿宋_GB2312" w:hAnsi="仿宋_GB2312" w:cs="仿宋_GB2312" w:eastAsia="仿宋_GB2312"/>
                <w:sz w:val="21"/>
              </w:rPr>
              <w:t>1.建立健全安全生产责任制，明确运营公司、学校、驾驶员、照管员的安全责任，签订安全责任书，层层压实安全责任。</w:t>
            </w:r>
          </w:p>
          <w:p>
            <w:pPr>
              <w:pStyle w:val="null3"/>
              <w:ind w:firstLine="480"/>
              <w:jc w:val="both"/>
            </w:pPr>
            <w:r>
              <w:rPr>
                <w:rFonts w:ascii="仿宋_GB2312" w:hAnsi="仿宋_GB2312" w:cs="仿宋_GB2312" w:eastAsia="仿宋_GB2312"/>
                <w:sz w:val="21"/>
              </w:rPr>
              <w:t>2.实行24小时动态监控值班制度，监控人员实时监控校车行驶状态，发现超速、超员等违规行为立即预警、制止，并做好记录。</w:t>
            </w:r>
          </w:p>
          <w:p>
            <w:pPr>
              <w:pStyle w:val="null3"/>
              <w:ind w:firstLine="480"/>
              <w:jc w:val="both"/>
            </w:pPr>
            <w:r>
              <w:rPr>
                <w:rFonts w:ascii="仿宋_GB2312" w:hAnsi="仿宋_GB2312" w:cs="仿宋_GB2312" w:eastAsia="仿宋_GB2312"/>
                <w:sz w:val="21"/>
              </w:rPr>
              <w:t>3.制定突发事件应急预案（含交通事故、车辆故障、恶劣天气、学生突发疾病等），明确处置流程、责任分工及保障措施，遇恶劣天气（暴雨、暴雪、大雾等），需提前评估路况，不具备安全行驶条件时，立即停运并第一时间通知学校、家长及监管部门。</w:t>
            </w:r>
          </w:p>
          <w:p>
            <w:pPr>
              <w:pStyle w:val="null3"/>
              <w:ind w:firstLine="480"/>
              <w:jc w:val="both"/>
            </w:pPr>
            <w:r>
              <w:rPr>
                <w:rFonts w:ascii="仿宋_GB2312" w:hAnsi="仿宋_GB2312" w:cs="仿宋_GB2312" w:eastAsia="仿宋_GB2312"/>
                <w:sz w:val="21"/>
              </w:rPr>
              <w:t>4.运营期间发生安全事故或突发事件，需及时上报区教体局及相关部门，立即启动应急预案，全力开展处置工作，承担因自身管理不善导致的全部法律责任和经济赔偿责任。</w:t>
            </w:r>
          </w:p>
          <w:p>
            <w:pPr>
              <w:pStyle w:val="null3"/>
              <w:jc w:val="both"/>
            </w:pPr>
            <w:r>
              <w:rPr>
                <w:rFonts w:ascii="仿宋_GB2312" w:hAnsi="仿宋_GB2312" w:cs="仿宋_GB2312" w:eastAsia="仿宋_GB2312"/>
                <w:sz w:val="21"/>
                <w:b/>
              </w:rPr>
              <w:t>三、经费管理</w:t>
            </w:r>
          </w:p>
          <w:p>
            <w:pPr>
              <w:pStyle w:val="null3"/>
              <w:ind w:firstLine="480"/>
              <w:jc w:val="both"/>
            </w:pPr>
            <w:r>
              <w:rPr>
                <w:rFonts w:ascii="仿宋_GB2312" w:hAnsi="仿宋_GB2312" w:cs="仿宋_GB2312" w:eastAsia="仿宋_GB2312"/>
                <w:sz w:val="21"/>
              </w:rPr>
              <w:t>报价含车辆运营、人员薪酬、维保、保险、监控等所有费用，车辆数根据实际情况确定。运营公司利益风险自担，自负盈亏，期间发生的一切问题，由供应商承担。</w:t>
            </w:r>
          </w:p>
          <w:p>
            <w:pPr>
              <w:pStyle w:val="null3"/>
              <w:jc w:val="both"/>
            </w:pPr>
            <w:r>
              <w:rPr>
                <w:rFonts w:ascii="仿宋_GB2312" w:hAnsi="仿宋_GB2312" w:cs="仿宋_GB2312" w:eastAsia="仿宋_GB2312"/>
                <w:sz w:val="21"/>
                <w:b/>
              </w:rPr>
              <w:t>四、确保国有资产安全完整措施</w:t>
            </w:r>
          </w:p>
          <w:p>
            <w:pPr>
              <w:pStyle w:val="null3"/>
            </w:pPr>
            <w:r>
              <w:rPr>
                <w:rFonts w:ascii="仿宋_GB2312" w:hAnsi="仿宋_GB2312" w:cs="仿宋_GB2312" w:eastAsia="仿宋_GB2312"/>
                <w:sz w:val="21"/>
              </w:rPr>
              <w:t xml:space="preserve">        中标供应商要向区教体局缴纳车辆使用风险保证金30万元，确保校车完好，运行正常。在运营周期内，若车辆使用正常，无损坏现象，保障金全额退还。运营公司若发生超速、超载、超范围运营等现象，酌情扣除风险保证金，情节严重的则按照相关法律法规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铜川市耀州区教育体育局指定地点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合同签订后，半年为一个支付周期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半年为一个支付周期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提供2024年度经审计并通过会计师行业统一监管平台备案赋码的财务报告或开标前六个月内其基本账户银行出具的资信证明或财政部门认可的政府采购专业担保机构出具的担保函。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提供2025年1月以来任意3个月依法缴纳税收和社会保险的相关证明材料；注：依法免税或不需要缴纳社会保险的供应商提供相关部门出具的证明文件。（以税款所属时期为准）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提供《中小企业声明函》；监狱企业应提供监狱企业相关资格证明材料；残疾人福利性单位应提供《残疾人福利性单位声明函》。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 （实质性要求）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费用组成表 政府采购供应商拒绝政府采购领域商业贿赂承诺书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 （实质性要求）</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 （实质性要求）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 （实质性要求）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 供应商提供针对本项目的总体服务方案，内容包括： ①服务目标； ②车辆安排和调度方案； ③路线安排方案。 2、评审标准 ①完整性：方案须全面，对评审内容中的各项要求有详细描述及说明； ②可实施性：切合本项目实际情况，实施步骤清晰、合理； ③针对性：方案能够紧扣项目实际情况，内容科学合理。 3、赋分标准 ①服务目标：每完全满足一项评审标准得1分，满分3分； ②车辆安排和调度方案：每完全满足一项评审标准得1.5分，满分4.5分； ③路线安排方案：每完全满足一项评审标准得1.5分，满分4.5分。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1、安全管理人员：为本项目配备从事车辆运输管理3年以上专职安全员，满足得2分。 2、驾驶员：持有A1类驾照、从业资格证并具有3年以上驾驶经历，年龄在25周岁以上、不超过60周岁；最近连续3个记分周期内没有被记满分记录；无致人死亡或者重伤的交通事故责任记录；无饮酒后驾驶或者醉酒驾驶机动车记录，最近1年内无驾驶客运车辆超员、超速等严重交通违法行为记录；无犯罪记录；身心健康，无传染性疾病，无癫痫、精神病等可能危及行车安全的疾病病史,无酗酒、吸毒行为记录。每提供1人得0.5分，最高得9分。 注： （1）提供相关人员劳动合同或近1年内任意1个月的社保缴纳证明。 （2）提供以上人员的相关证书及证明材料复印件并加盖公章。 （3）未提供证明材料或证明材料不齐全不得分，同一人不重复计分。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1、评审内容 供应商提供针对本项目的安全保障方案，内容包括： ①安全保障方案； ②安全教育方案； ③车辆安全检查与隐患治理； ④安全管理机构。 2、评审标准 ①完整性：方案须全面，对评审内容中的各项要求有详细描述及说明； ②可实施性：切合本项目实际情况，实施步骤清晰、合理； ③针对性：方案能够紧扣项目实际情况，内容科学合理。 3、赋分标准 ①安全保障方案：每完全满足一项评审标准得1分，满分3分； ②安全教育方案：每完全满足一项评审标准得1分，满分3分； ③车辆安全检查与隐患治理：每完全满足一项评审标准得1分，满分3分； ④安全管理机构：每完全满足一项评审标准得1分，满分3分。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校车管理方案</w:t>
            </w:r>
          </w:p>
        </w:tc>
        <w:tc>
          <w:tcPr>
            <w:tcW w:type="dxa" w:w="2492"/>
          </w:tcPr>
          <w:p>
            <w:pPr>
              <w:pStyle w:val="null3"/>
            </w:pPr>
            <w:r>
              <w:rPr>
                <w:rFonts w:ascii="仿宋_GB2312" w:hAnsi="仿宋_GB2312" w:cs="仿宋_GB2312" w:eastAsia="仿宋_GB2312"/>
              </w:rPr>
              <w:t>1、评审内容 供应商提供针对本项目的校车管理方案，内容包括： ①校车配置的实时视频监控管理指挥系统； ②在校车运行过程中实时行驶状态监管方案； ③校车运行记录保存管理方案（可查询到所有车辆至少30天内的行车情况，在地图上动态显示车辆行车轨迹）。 2、评审标准 ①完整性：方案须全面，对评审内容中的各项要求有详细描述及说明； ②可实施性：切合本项目实际情况，实施步骤清晰、合理； ③针对性：方案能够紧扣项目实际情况，内容科学合理。 3、赋分标准 ①校车配置的实时视频监控管理指挥系统：每完全满足一项评审标准得1分，满分3分； ②在校车运行过程中实时行驶状态监管方案：每完全满足一项评审标准得1分，满分3分； ③校车运行记录保存管理方案（可查询到所有车辆至少30天内的行车情况，在地图上动态显示车辆行车轨迹）：每完全满足一项评审标准得1分，满分3分。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1、评审内容 供应商提供针对本项目的应急管理方案，内容包括： ①车辆故障应急处理方案，学生临时安置与转运方案； ②交通安全事故应急处理方案（如碰撞、剐蹭/刮蹭、侧翻等交通事故）； ③突发安全事件应急处理方案（如学生突发疾病、人员闯入、物品遗失等）； 2、评审标准 ①完整性：方案须全面，对评审内容中的各项要求有详细描述及说明； ②可实施性：切合本项目实际情况，实施步骤清晰、合理； ③针对性：方案能够紧扣项目实际情况，内容科学合理。 3、赋分标准 ①车辆故障应急处理方案，学生临时安置与转运方案：每完全满足一项评审标准得1分，满分3分； ②交通安全事故应急处理方案（如碰撞、剐蹭/刮蹭、侧翻等交通事故）：每完全满足一项评审标准得1分，满分3分； ③突发安全事件应急处理方案（如学生突发疾病、人员闯入、物品遗失等）：每完全满足一项评审标准得1分，满分3分。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1、评审内容 供应商提供针对本项目的管理制度方案，内容包括： ①考勤制度； ②安全管理制度； ③考核制度； ④员工奖惩制度。 2、评审标准 ①完整性：方案须全面，对评审内容中的各项要求有详细描述及说明； ②可实施性：切合本项目实际情况，实施步骤清晰、合理； ③针对性：方案能够紧扣项目实际情况，内容科学合理。 3、赋分标准 ①考勤制度：每完全满足一项评审标准得1分，满分3分； ②安全管理制度：每完全满足一项评审标准得1分，满分3分； ③考核制度：每完全满足一项评审标准得1分，满分3分； ④员工奖惩制度：每完全满足一项评审标准得1分，满分3分。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供应商根据本项目实际需求提供培训方案，内容包括： ①培训计划； ②培训方式； ③培训内容； ④培训制度。 2、评审标准 ①完整性：方案须全面，对评审内容中的各项要求有详细描述及说明； ②可实施性：切合本项目实际情况，步骤清晰、合理，操作性强；③针对性：方案能够紧扣项目实际情况，内容科学合理。 3、赋分标准 ①培训计划：每完全满足一项评审标准得1分，满分3分； ②培训方式：每完全满足一项评审标准得1分，满分3分； ③培训内容：每完全满足一项评审标准得1分，满分3分； ④培训制度：每完全满足一项评审标准得1分，满分3分。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提供2023年1月1日以来供应商类似项目的业绩合同或校车安全责任书（以合同或校车安全责任书签订日期为准），附业绩合同或校车安全责任书复印件加盖公章，每份2分，满分8分；未提供不计分。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价/最终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详见附件：业绩证明文件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