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版本号：SXGLZFCG2026-005号20260313001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耀州区瑶曲镇人居环境整治服务项目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SXGLZFCG2026-005号</w:t>
      </w:r>
      <w:r>
        <w:br/>
      </w:r>
      <w:r>
        <w:br/>
      </w:r>
      <w:r>
        <w:br/>
      </w:r>
    </w:p>
    <w:p>
      <w:pPr>
        <w:pStyle w:val="null3"/>
        <w:jc w:val="center"/>
        <w:outlineLvl w:val="2"/>
      </w:pPr>
      <w:r>
        <w:rPr>
          <w:rFonts w:ascii="仿宋_GB2312" w:hAnsi="仿宋_GB2312" w:cs="仿宋_GB2312" w:eastAsia="仿宋_GB2312"/>
          <w:sz w:val="28"/>
          <w:b/>
        </w:rPr>
        <w:t>铜川市耀州区瑶曲镇人民政府</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铜川市耀州区瑶曲镇人民政府</w:t>
      </w:r>
      <w:r>
        <w:rPr>
          <w:rFonts w:ascii="仿宋_GB2312" w:hAnsi="仿宋_GB2312" w:cs="仿宋_GB2312" w:eastAsia="仿宋_GB2312"/>
        </w:rPr>
        <w:t>委托，拟对</w:t>
      </w:r>
      <w:r>
        <w:rPr>
          <w:rFonts w:ascii="仿宋_GB2312" w:hAnsi="仿宋_GB2312" w:cs="仿宋_GB2312" w:eastAsia="仿宋_GB2312"/>
        </w:rPr>
        <w:t>耀州区瑶曲镇人居环境整治服务项目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SXGLZFCG2026-005号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耀州区瑶曲镇人居环境整治服务项目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主要包括瑶曲镇镇区内保洁，具体内容详见服务内容及要求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采购包1（耀州区瑶曲镇人居环境整治服务项目）：属于专门面向中小企业采购。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2、财务状况报告：提供（1）或提供（2）：（1）提供2024年度财务报告复印件，应满足以下要求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pPr>
        <w:pStyle w:val="null3"/>
      </w:pPr>
      <w:r>
        <w:rPr>
          <w:rFonts w:ascii="仿宋_GB2312" w:hAnsi="仿宋_GB2312" w:cs="仿宋_GB2312" w:eastAsia="仿宋_GB2312"/>
        </w:rPr>
        <w:t>3、税收缴纳证明：提供2025年6月至今连续3个月已缴纳的纳税证明或完税证明（成立未满3个月的单位提供相关证明和材料），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6月至今连续3个月已缴纳的社会保障资金缴存单据或社保机构开具的社会保险参保缴费情况证明（成立未满3个月的单位提供相关证明和材料），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5、信用查询：供应商不得列入“信用中国(www.creditchina.gov.cn)”中失信被执行人和重大税收违法案件当事人名单，不得为“中国政府采购网(www.ccgp.gov.cn)” 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6、设备和专业技术能力承诺：具有履行合同所必需的设备和专业技术能力，提供证明材料或书面承诺并加盖公章。</w:t>
      </w:r>
    </w:p>
    <w:p>
      <w:pPr>
        <w:pStyle w:val="null3"/>
      </w:pPr>
      <w:r>
        <w:rPr>
          <w:rFonts w:ascii="仿宋_GB2312" w:hAnsi="仿宋_GB2312" w:cs="仿宋_GB2312" w:eastAsia="仿宋_GB2312"/>
        </w:rPr>
        <w:t>7、无重大违法记录声明：参加政府采购活动近三年内，在经营活动中没有重大违法记录，提供书面声明。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铜川市耀州区瑶曲镇人民政府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铜川市耀州区瑶曲镇瑶曲街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0919-6851006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陕西省铜川市新区朝阳路鸿翔逸境1号楼1-4层商业区三楼304室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采购包1：1,589,160.00元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代理服务费收费标准：本项目招标代理费依据国家发展计划委员会计价格（2002）1980号文件和国家发展改革委发改价格[2011]534号文件规定按标准进行计取，由中标人承担。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铜川市耀州区瑶曲镇人民政府</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铜川市耀州区瑶曲镇人民政府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铜川市耀州区瑶曲镇人民政府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验收标准：参照《财政部关于进一步加强政府采购需求和履约验收管理的指导意见》(财库(2016) 205号)</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地址：陕西省铜川市新区朝阳路鸿翔逸境1号楼1-4层商业区三楼304室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主要包括瑶曲镇镇区内保洁，具体内容详见磋商文件要求。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1,589,160.00</w:t>
      </w:r>
    </w:p>
    <w:p>
      <w:pPr>
        <w:pStyle w:val="null3"/>
      </w:pPr>
      <w:r>
        <w:rPr>
          <w:rFonts w:ascii="仿宋_GB2312" w:hAnsi="仿宋_GB2312" w:cs="仿宋_GB2312" w:eastAsia="仿宋_GB2312"/>
        </w:rPr>
        <w:t>采购包最高限价（元）: 1,589,160.00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耀州区瑶曲镇人居环境整治服务项目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1,589,160.00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标的名称：耀州区瑶曲镇人居环境整治服务项目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以服务内容及要求为准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自合同签订之日起1年（此次招标为1+2（总周期为三年），若续签合同必须满足甲方考核标准）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验收标准：参照《财政部关于进一步加强政府采购需求和履约验收管理的指导意见》(财库(2016) 205号)</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次月初对上月进行考核，达到考核标准后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次月初对上月进行考核，达到考核标准后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次月初对上月进行考核，达到考核标准后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次月初对上月进行考核，达到考核标准后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次月初对上月进行考核，达到考核标准后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次月初对上月进行考核，达到考核标准后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次月初对上月进行考核，达到考核标准后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次月初对上月进行考核，达到考核标准后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次月初对上月进行考核，达到考核标准后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次月初对上月进行考核，达到考核标准后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次月初对上月进行考核，达到考核标准后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次月初对上月进行考核，达到考核标准后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与解决争议的方法：1、按《中华人民共和国民法典》中的相关条款执行。2、未按合同要求提供服务或服务质量不能满足技术要求的，采购人有权终止合同，并对中标供应商违约行为进行追究，同时按《中华人民共和国政府采购法》及实施条例的有关规定进行处罚。（未尽事宜双方合同签订时约定）。 二、合同其他条款：1.发生群体性上访事件或者因上访事件造成不良影响的，经核查中标单位存在相应责任属实的，采购人有权直接解除合同。2.无论何种原因中标供应商要解除合同的，必须提前3个月通知采购人，该三个月内中标供应商仍需按照合同约定履行合同义务，且需按照采购人要求办理撤场交接工作。（其他未尽事宜双方合同签订时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于开标前线下提交投标响应客户端生成带水印的投标文件纸质版至铜川市新区朝阳路鸿翔意境北门东侧119号（陕西公立）3楼304室，投标文件正本一份，副本一份，电子 U 盘一份。投标文件纸质版正本、副本、电子版分别密封，且在封袋正面标明"投标文件纸质版"字样。封袋应加贴封条，并在封线处加盖供应商公章，封袋正面要粘贴投标人全称、项目名称、编号等标识。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提供（1）或提供（2）：（1）提供2024年度财务报告复印件，应满足以下要求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连续3个月已缴纳的纳税证明或完税证明（成立未满3个月的单位提供相关证明和材料），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连续3个月已缴纳的社会保障资金缴存单据或社保机构开具的社会保险参保缴费情况证明（成立未满3个月的单位提供相关证明和材料），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供应商不得列入“信用中国(www.creditchina.gov.cn)”中失信被执行人和重大税收违法案件当事人名单，不得为“中国政府采购网(www.ccgp.gov.cn)” 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响应文件格式及签字盖章</w:t>
            </w:r>
          </w:p>
        </w:tc>
        <w:tc>
          <w:tcPr>
            <w:tcW w:type="dxa" w:w="3322"/>
          </w:tcPr>
          <w:p>
            <w:pPr>
              <w:pStyle w:val="null3"/>
            </w:pPr>
            <w:r>
              <w:rPr>
                <w:rFonts w:ascii="仿宋_GB2312" w:hAnsi="仿宋_GB2312" w:cs="仿宋_GB2312" w:eastAsia="仿宋_GB2312"/>
              </w:rPr>
              <w:t>完全满足招标文件格式要求签字盖章</w:t>
            </w:r>
          </w:p>
        </w:tc>
        <w:tc>
          <w:tcPr>
            <w:tcW w:type="dxa" w:w="1661"/>
          </w:tcPr>
          <w:p>
            <w:pPr>
              <w:pStyle w:val="null3"/>
            </w:pPr>
            <w:r>
              <w:rPr>
                <w:rFonts w:ascii="仿宋_GB2312" w:hAnsi="仿宋_GB2312" w:cs="仿宋_GB2312" w:eastAsia="仿宋_GB2312"/>
              </w:rPr>
              <w:t>业绩一览表.docx 服务内容及服务邀请应答表 中小企业声明函 商务应答表 供应商应提交的相关资格证明材料 报价表 分项报价一览表.docx 响应文件封面 法定代表人身份证明书.docx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只能有一个有效报价，且未超过最高限价</w:t>
            </w:r>
          </w:p>
        </w:tc>
        <w:tc>
          <w:tcPr>
            <w:tcW w:type="dxa" w:w="1661"/>
          </w:tcPr>
          <w:p>
            <w:pPr>
              <w:pStyle w:val="null3"/>
            </w:pPr>
            <w:r>
              <w:rPr>
                <w:rFonts w:ascii="仿宋_GB2312" w:hAnsi="仿宋_GB2312" w:cs="仿宋_GB2312" w:eastAsia="仿宋_GB2312"/>
              </w:rPr>
              <w:t>标的清单 报价表 分项报价一览表.docx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1、提出针对于本项目的总体服务方案，方案内容包含①服务分析及目标②服务理念及特色③重难点分析及解决措施。 2、方案全面、切合本项目实际情况、步骤清晰、合理，操作性强，方案能够紧扣项目实际情况，内容科学合理。 3、共三条每条完全满足评审标准得5分，每条评审内容存在缺陷，扣0.1-2分，不提供不得分。（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工具、器械配备</w:t>
            </w:r>
          </w:p>
        </w:tc>
        <w:tc>
          <w:tcPr>
            <w:tcW w:type="dxa" w:w="2492"/>
          </w:tcPr>
          <w:p>
            <w:pPr>
              <w:pStyle w:val="null3"/>
            </w:pPr>
            <w:r>
              <w:rPr>
                <w:rFonts w:ascii="仿宋_GB2312" w:hAnsi="仿宋_GB2312" w:cs="仿宋_GB2312" w:eastAsia="仿宋_GB2312"/>
              </w:rPr>
              <w:t>1、供应商提供本项目所需要的物料配备清单，应包含：①工作服装和清洁工具②劳保用品和消耗品。 2、清单必须全面，对评审内容中的各项服装、设备、工具、耗材配置合理；所配备的物料能够切合本项目实际情况，提供质量有保障、使用率高、环保性强、服装统一。 3、共二条每条完全满足评审标准得5分，每条评审内容存在缺陷，扣0.1-2分，不提供不得分。（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紧急预案</w:t>
            </w:r>
          </w:p>
        </w:tc>
        <w:tc>
          <w:tcPr>
            <w:tcW w:type="dxa" w:w="2492"/>
          </w:tcPr>
          <w:p>
            <w:pPr>
              <w:pStyle w:val="null3"/>
            </w:pPr>
            <w:r>
              <w:rPr>
                <w:rFonts w:ascii="仿宋_GB2312" w:hAnsi="仿宋_GB2312" w:cs="仿宋_GB2312" w:eastAsia="仿宋_GB2312"/>
              </w:rPr>
              <w:t>1、针对本项目特点提供应急预案，预案内容包含①紧急情况的预防与处置：恶劣天气、防洪准备、防火防盗、火灾、水浸②公共卫生事件预防与处置③应急保障措施演练计划。 2、方案全面、切合本项目实际情况，步骤清晰、合理，操作性强。 3、共三条每条完全满足评审标准得5分，每条评审内容存在缺陷，扣0.1-2分，不提供不得分。（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针对本项目具有良好的管理制度，制度内容包含①岗位职责：具有岗位工作标准、服务质量标准、作业流程及作业记录②内控制度：具有保密制度、管理组织机构、问责机制、监督机制、自查制度③人员管理制度：具有员工日常管理办法、保密制度、请销假制度、奖惩措施、激励机制、仪容仪表制度。 2、方案全面、切合本项目实际情况、步骤清晰、合理，操作性强，方案能够紧扣项目实际情况，内容科学合理。 3、共三条每条完全满足评审标准得5分，每条评审内容存在缺陷，扣0.1-2分，不提供不得分。（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拟派的人员配备清单（应提供人员身份证、资格证（如有），包括年龄、工作经验、职责等），人员配置齐全，工作经验丰富等得15分；评审内容有缺陷不满足服务要求的扣0.1-6分，未提供人员证明材料不得分。（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1、针对本项目制定培训考核方案，方案内容包含①培训：针对不同的岗位职责、行为规范、服务礼仪等方面制定培训方案②考核：针对不同的岗位、制度及工作程序制定考核方案。 2、方案全面、切合本项目实际情况、步骤清晰、合理，操作性强，方案能够紧扣项目实际情况，内容科学合理 3、共二条每条完全满足评审标准得5分，每条评审内容存在缺陷，扣0.1-2分，不提供不得分。（缺陷是指：内容粗略、逻辑混乱、描述过于简单、与项目实际情况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1、承诺：接受采购人对服务的考核、监督及管理，并对服务质量加以改进，确保服务工作的优质高效，得1.5分。无承诺不得分。 2、承诺：若人员因事、病不能及时上岗时，请调其他服务人员补充，确保各项服务工作正常进行，得1.5分。无承诺不得分。 3、承诺：供应商具有足够的储备调度人员，以应对重大、突发事件的保洁等任务，2分。无承诺不得分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投标报价：以最终报价为准，并计算。 计算方式：统一采用低价优先法计算，即满足招标文件要求且投标价格最低的投标报价为评标基准价，其价格分为满分。其他供应商的价格分统一按照下列公式计算： 投标报价得分=（投标基准价/最终投标报价）×15计算得分；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详见附件：分项报价一览表.docx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详见附件：合同原则.docx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