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版本号：政采-耀州区-2026-00013.1B220260313001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民警综合模拟射击训练系统建设项目(三次)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政采-耀州区-2026-00013.1B2</w:t>
      </w:r>
      <w:r>
        <w:br/>
      </w:r>
      <w:r>
        <w:br/>
      </w:r>
      <w:r>
        <w:br/>
      </w:r>
    </w:p>
    <w:p>
      <w:pPr>
        <w:pStyle w:val="null3"/>
        <w:jc w:val="center"/>
        <w:outlineLvl w:val="2"/>
      </w:pPr>
      <w:r>
        <w:rPr>
          <w:rFonts w:ascii="仿宋_GB2312" w:hAnsi="仿宋_GB2312" w:cs="仿宋_GB2312" w:eastAsia="仿宋_GB2312"/>
          <w:sz w:val="28"/>
          <w:b/>
        </w:rPr>
        <w:t>铜川市公安局耀州分局</w:t>
      </w:r>
    </w:p>
    <w:p>
      <w:pPr>
        <w:pStyle w:val="null3"/>
        <w:jc w:val="center"/>
        <w:outlineLvl w:val="2"/>
      </w:pPr>
      <w:r>
        <w:rPr>
          <w:rFonts w:ascii="仿宋_GB2312" w:hAnsi="仿宋_GB2312" w:cs="仿宋_GB2312" w:eastAsia="仿宋_GB2312"/>
          <w:sz w:val="28"/>
          <w:b/>
        </w:rPr>
        <w:t>陕西中源项目管理有限公司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陕西中源项目管理有限公司</w:t>
      </w:r>
      <w:r>
        <w:rPr>
          <w:rFonts w:ascii="仿宋_GB2312" w:hAnsi="仿宋_GB2312" w:cs="仿宋_GB2312" w:eastAsia="仿宋_GB2312"/>
        </w:rPr>
        <w:t>（以下简称“代理机构”）受</w:t>
      </w:r>
      <w:r>
        <w:rPr>
          <w:rFonts w:ascii="仿宋_GB2312" w:hAnsi="仿宋_GB2312" w:cs="仿宋_GB2312" w:eastAsia="仿宋_GB2312"/>
        </w:rPr>
        <w:t>铜川市公安局耀州分局</w:t>
      </w:r>
      <w:r>
        <w:rPr>
          <w:rFonts w:ascii="仿宋_GB2312" w:hAnsi="仿宋_GB2312" w:cs="仿宋_GB2312" w:eastAsia="仿宋_GB2312"/>
        </w:rPr>
        <w:t>委托，拟对</w:t>
      </w:r>
      <w:r>
        <w:rPr>
          <w:rFonts w:ascii="仿宋_GB2312" w:hAnsi="仿宋_GB2312" w:cs="仿宋_GB2312" w:eastAsia="仿宋_GB2312"/>
        </w:rPr>
        <w:t>民警综合模拟射击训练系统建设项目(三次)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政采-耀州区-2026-00013.1B2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民警综合模拟射击训练系统建设项目(三次)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民辅警模拟射击训练系统设备等。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具有财务审计资质单位出具的近三年任意一年的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w:t>
      </w:r>
    </w:p>
    <w:p>
      <w:pPr>
        <w:pStyle w:val="null3"/>
      </w:pPr>
      <w:r>
        <w:rPr>
          <w:rFonts w:ascii="仿宋_GB2312" w:hAnsi="仿宋_GB2312" w:cs="仿宋_GB2312" w:eastAsia="仿宋_GB2312"/>
        </w:rPr>
        <w:t>3、税收交纳证明：提供响应文件递交截止时间前一年内任意一个月的缴费凭据（依法免税的供应商应提供相关文件证明）；</w:t>
      </w:r>
    </w:p>
    <w:p>
      <w:pPr>
        <w:pStyle w:val="null3"/>
      </w:pPr>
      <w:r>
        <w:rPr>
          <w:rFonts w:ascii="仿宋_GB2312" w:hAnsi="仿宋_GB2312" w:cs="仿宋_GB2312" w:eastAsia="仿宋_GB2312"/>
        </w:rPr>
        <w:t>4、社会保障资金交纳证明：提供响应文件递交截止时间前一年内任意一个月的社保缴费凭据或社保机构开具的社会保险参保缴费情况证明（依法不需要缴纳社会保障资金的供应商应提供相关证明）；</w:t>
      </w:r>
    </w:p>
    <w:p>
      <w:pPr>
        <w:pStyle w:val="null3"/>
      </w:pPr>
      <w:r>
        <w:rPr>
          <w:rFonts w:ascii="仿宋_GB2312" w:hAnsi="仿宋_GB2312" w:cs="仿宋_GB2312" w:eastAsia="仿宋_GB2312"/>
        </w:rPr>
        <w:t>5、承诺、说明及书面声明：1、提供具有履行本合同所必需的设备和专业技术能力的说明及承诺； 2、提供参加政府采购活动前三年内在经营活动中没有重大违法记录的书面声明；</w:t>
      </w:r>
    </w:p>
    <w:p>
      <w:pPr>
        <w:pStyle w:val="null3"/>
      </w:pPr>
      <w:r>
        <w:rPr>
          <w:rFonts w:ascii="仿宋_GB2312" w:hAnsi="仿宋_GB2312" w:cs="仿宋_GB2312" w:eastAsia="仿宋_GB2312"/>
        </w:rPr>
        <w:t>6、法定代表人授权书/法定代表人身份证明：法定代表人参与磋商时需提供法定代表人身份证复印件；被授权人参与磋商时需提供法定代表人授权委托书；</w:t>
      </w:r>
    </w:p>
    <w:p>
      <w:pPr>
        <w:pStyle w:val="null3"/>
      </w:pPr>
      <w:r>
        <w:rPr>
          <w:rFonts w:ascii="仿宋_GB2312" w:hAnsi="仿宋_GB2312" w:cs="仿宋_GB2312" w:eastAsia="仿宋_GB2312"/>
        </w:rPr>
        <w:t>7、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必备资格，以评审现场查询结果为准，达不到要求，视为无效）。</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铜川市公安局耀州分局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铜川市耀州区文营西路81号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姚江锋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18992919728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陕西省西安市莲湖区未央路99号荣民中央国际10层1012室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孟工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13389192016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铜川市耀州区政府采购管理股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0919-6602227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 [2002]1980号）和（发改办价格[2011]534号）文件规定标准收取。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铜川市公安局耀州分局</w:t>
      </w:r>
      <w:r>
        <w:rPr>
          <w:rFonts w:ascii="仿宋_GB2312" w:hAnsi="仿宋_GB2312" w:cs="仿宋_GB2312" w:eastAsia="仿宋_GB2312"/>
        </w:rPr>
        <w:t>和</w:t>
      </w:r>
      <w:r>
        <w:rPr>
          <w:rFonts w:ascii="仿宋_GB2312" w:hAnsi="仿宋_GB2312" w:cs="仿宋_GB2312" w:eastAsia="仿宋_GB2312"/>
        </w:rPr>
        <w:t>陕西中源项目管理有限公司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铜川市公安局耀州分局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按招标文件、投标文件及合同条款执行。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陕西中源项目管理有限公司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陕西中源项目管理有限公司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联系人：孟洋洋</w:t>
      </w:r>
    </w:p>
    <w:p>
      <w:pPr>
        <w:pStyle w:val="null3"/>
      </w:pPr>
      <w:r>
        <w:rPr>
          <w:rFonts w:ascii="仿宋_GB2312" w:hAnsi="仿宋_GB2312" w:cs="仿宋_GB2312" w:eastAsia="仿宋_GB2312"/>
        </w:rPr>
        <w:t>联系电话：13389192016</w:t>
      </w:r>
    </w:p>
    <w:p>
      <w:pPr>
        <w:pStyle w:val="null3"/>
      </w:pPr>
      <w:r>
        <w:rPr>
          <w:rFonts w:ascii="仿宋_GB2312" w:hAnsi="仿宋_GB2312" w:cs="仿宋_GB2312" w:eastAsia="仿宋_GB2312"/>
        </w:rPr>
        <w:t>地址：陕西省西安市莲湖区未央路99号荣民中央国际10层1012室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民辅警模拟射击训练系统设备等。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模拟射击设备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标的名称：模拟射击设备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87"/>
              <w:gridCol w:w="426"/>
              <w:gridCol w:w="2467"/>
            </w:tblGrid>
            <w:tr>
              <w:tc>
                <w:tcPr>
                  <w:tcW w:type="dxa" w:w="287"/>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序号</w:t>
                  </w:r>
                </w:p>
              </w:tc>
              <w:tc>
                <w:tcPr>
                  <w:tcW w:type="dxa" w:w="426"/>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名称</w:t>
                  </w:r>
                </w:p>
              </w:tc>
              <w:tc>
                <w:tcPr>
                  <w:tcW w:type="dxa" w:w="2467"/>
                  <w:tcBorders>
                    <w:top w:val="single" w:color="000000" w:sz="8"/>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技术</w:t>
                  </w:r>
                  <w:r>
                    <w:rPr>
                      <w:rFonts w:ascii="仿宋_GB2312" w:hAnsi="仿宋_GB2312" w:cs="仿宋_GB2312" w:eastAsia="仿宋_GB2312"/>
                      <w:sz w:val="28"/>
                      <w:b/>
                      <w:color w:val="000000"/>
                    </w:rPr>
                    <w:t>参数</w:t>
                  </w:r>
                </w:p>
              </w:tc>
            </w:tr>
            <w:tr>
              <w:tc>
                <w:tcPr>
                  <w:tcW w:type="dxa" w:w="287"/>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射击训练器材</w:t>
                  </w:r>
                </w:p>
              </w:tc>
              <w:tc>
                <w:tcPr>
                  <w:tcW w:type="dxa" w:w="2467"/>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left"/>
                  </w:pPr>
                </w:p>
              </w:tc>
            </w:tr>
            <w:tr>
              <w:tc>
                <w:tcPr>
                  <w:tcW w:type="dxa" w:w="287"/>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控制计算机</w:t>
                  </w:r>
                </w:p>
              </w:tc>
              <w:tc>
                <w:tcPr>
                  <w:tcW w:type="dxa" w:w="2467"/>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★1.CPU、操作系统需符合安全可靠测评要求，详见中国信息安全测评中心和国家保密科技测评中心发布的《安全可靠测评结果公告》。</w:t>
                  </w:r>
                </w:p>
                <w:p>
                  <w:pPr>
                    <w:pStyle w:val="null3"/>
                    <w:jc w:val="left"/>
                  </w:pPr>
                  <w:r>
                    <w:rPr>
                      <w:rFonts w:ascii="仿宋_GB2312" w:hAnsi="仿宋_GB2312" w:cs="仿宋_GB2312" w:eastAsia="仿宋_GB2312"/>
                      <w:sz w:val="21"/>
                    </w:rPr>
                    <w:t>2.CPU：物理核心数≥8核，主频≥2.3GHz；</w:t>
                  </w:r>
                </w:p>
                <w:p>
                  <w:pPr>
                    <w:pStyle w:val="null3"/>
                    <w:jc w:val="left"/>
                  </w:pPr>
                  <w:r>
                    <w:rPr>
                      <w:rFonts w:ascii="仿宋_GB2312" w:hAnsi="仿宋_GB2312" w:cs="仿宋_GB2312" w:eastAsia="仿宋_GB2312"/>
                      <w:sz w:val="21"/>
                    </w:rPr>
                    <w:t>3.显卡：显存≥4G；</w:t>
                  </w:r>
                </w:p>
                <w:p>
                  <w:pPr>
                    <w:pStyle w:val="null3"/>
                    <w:jc w:val="left"/>
                  </w:pPr>
                  <w:r>
                    <w:rPr>
                      <w:rFonts w:ascii="仿宋_GB2312" w:hAnsi="仿宋_GB2312" w:cs="仿宋_GB2312" w:eastAsia="仿宋_GB2312"/>
                      <w:sz w:val="21"/>
                    </w:rPr>
                    <w:t>4.内存：≥16G；</w:t>
                  </w:r>
                </w:p>
                <w:p>
                  <w:pPr>
                    <w:pStyle w:val="null3"/>
                    <w:jc w:val="left"/>
                  </w:pPr>
                  <w:r>
                    <w:rPr>
                      <w:rFonts w:ascii="仿宋_GB2312" w:hAnsi="仿宋_GB2312" w:cs="仿宋_GB2312" w:eastAsia="仿宋_GB2312"/>
                      <w:sz w:val="21"/>
                    </w:rPr>
                    <w:t>5.硬盘：≥256G SSD。</w:t>
                  </w:r>
                </w:p>
                <w:p>
                  <w:pPr>
                    <w:pStyle w:val="null3"/>
                    <w:jc w:val="left"/>
                  </w:pPr>
                  <w:r>
                    <w:rPr>
                      <w:rFonts w:ascii="仿宋_GB2312" w:hAnsi="仿宋_GB2312" w:cs="仿宋_GB2312" w:eastAsia="仿宋_GB2312"/>
                      <w:sz w:val="21"/>
                    </w:rPr>
                    <w:t>★6.投标方需在供货产品中提供基于国产操作系统的GPU抓帧分析方案（如RenderDoc），证明训练系统所有科目采用的三维渲染尺寸（GPU实际计算分辨率）≥</w:t>
                  </w:r>
                  <w:r>
                    <w:rPr>
                      <w:rFonts w:ascii="仿宋_GB2312" w:hAnsi="仿宋_GB2312" w:cs="仿宋_GB2312" w:eastAsia="仿宋_GB2312"/>
                      <w:sz w:val="21"/>
                      <w:color w:val="000000"/>
                    </w:rPr>
                    <w:t>1920*1080</w:t>
                  </w:r>
                  <w:r>
                    <w:rPr>
                      <w:rFonts w:ascii="仿宋_GB2312" w:hAnsi="仿宋_GB2312" w:cs="仿宋_GB2312" w:eastAsia="仿宋_GB2312"/>
                      <w:sz w:val="21"/>
                    </w:rPr>
                    <w:t>，同时实时渲染帧率</w:t>
                  </w:r>
                  <w:r>
                    <w:rPr>
                      <w:rFonts w:ascii="仿宋_GB2312" w:hAnsi="仿宋_GB2312" w:cs="仿宋_GB2312" w:eastAsia="仿宋_GB2312"/>
                      <w:sz w:val="21"/>
                    </w:rPr>
                    <w:t>≥60fps。投标方需在供货产品中提供基于国产操作系统的摄像头测试工具，证明训练系统所有科目信号采集的分辨率（传感器原始输出分辨率）不小于3088×2064，同时采集的帧率≥50fps，并实时显示预览画面。</w:t>
                  </w:r>
                </w:p>
              </w:tc>
            </w:tr>
            <w:tr>
              <w:tc>
                <w:tcPr>
                  <w:tcW w:type="dxa" w:w="287"/>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高清投影仪</w:t>
                  </w:r>
                </w:p>
              </w:tc>
              <w:tc>
                <w:tcPr>
                  <w:tcW w:type="dxa" w:w="2467"/>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激光光源，训练系统所有科目显示的分辨率</w:t>
                  </w:r>
                  <w:r>
                    <w:rPr>
                      <w:rFonts w:ascii="仿宋_GB2312" w:hAnsi="仿宋_GB2312" w:cs="仿宋_GB2312" w:eastAsia="仿宋_GB2312"/>
                      <w:sz w:val="21"/>
                      <w:color w:val="000000"/>
                    </w:rPr>
                    <w:t>≥1920*1080</w:t>
                  </w:r>
                  <w:r>
                    <w:rPr>
                      <w:rFonts w:ascii="仿宋_GB2312" w:hAnsi="仿宋_GB2312" w:cs="仿宋_GB2312" w:eastAsia="仿宋_GB2312"/>
                      <w:sz w:val="21"/>
                      <w:color w:val="000000"/>
                    </w:rPr>
                    <w:t>，亮度</w:t>
                  </w:r>
                  <w:r>
                    <w:rPr>
                      <w:rFonts w:ascii="仿宋_GB2312" w:hAnsi="仿宋_GB2312" w:cs="仿宋_GB2312" w:eastAsia="仿宋_GB2312"/>
                      <w:sz w:val="21"/>
                      <w:color w:val="000000"/>
                    </w:rPr>
                    <w:t>≥6000流明，对比度≥100000:1，具有梯形校正、四点校正功能。</w:t>
                  </w:r>
                </w:p>
              </w:tc>
            </w:tr>
            <w:tr>
              <w:tc>
                <w:tcPr>
                  <w:tcW w:type="dxa" w:w="287"/>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红外采集摄像机</w:t>
                  </w:r>
                </w:p>
              </w:tc>
              <w:tc>
                <w:tcPr>
                  <w:tcW w:type="dxa" w:w="2467"/>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传感器尺寸</w:t>
                  </w:r>
                  <w:r>
                    <w:rPr>
                      <w:rFonts w:ascii="仿宋_GB2312" w:hAnsi="仿宋_GB2312" w:cs="仿宋_GB2312" w:eastAsia="仿宋_GB2312"/>
                      <w:sz w:val="21"/>
                      <w:color w:val="000000"/>
                    </w:rPr>
                    <w:t>≥1/1.8"，训练系统所有科目信号采集的分辨率</w:t>
                  </w:r>
                  <w:r>
                    <w:rPr>
                      <w:rFonts w:ascii="仿宋_GB2312" w:hAnsi="仿宋_GB2312" w:cs="仿宋_GB2312" w:eastAsia="仿宋_GB2312"/>
                      <w:sz w:val="21"/>
                      <w:color w:val="000000"/>
                    </w:rPr>
                    <w:t>@</w:t>
                  </w:r>
                  <w:r>
                    <w:rPr>
                      <w:rFonts w:ascii="仿宋_GB2312" w:hAnsi="仿宋_GB2312" w:cs="仿宋_GB2312" w:eastAsia="仿宋_GB2312"/>
                      <w:sz w:val="21"/>
                      <w:color w:val="000000"/>
                    </w:rPr>
                    <w:t>帧率</w:t>
                  </w:r>
                  <w:r>
                    <w:rPr>
                      <w:rFonts w:ascii="仿宋_GB2312" w:hAnsi="仿宋_GB2312" w:cs="仿宋_GB2312" w:eastAsia="仿宋_GB2312"/>
                      <w:sz w:val="21"/>
                      <w:color w:val="000000"/>
                    </w:rPr>
                    <w:t>≥3088×2064</w:t>
                  </w:r>
                  <w:r>
                    <w:rPr>
                      <w:rFonts w:ascii="仿宋_GB2312" w:hAnsi="仿宋_GB2312" w:cs="仿宋_GB2312" w:eastAsia="仿宋_GB2312"/>
                      <w:sz w:val="21"/>
                      <w:color w:val="000000"/>
                    </w:rPr>
                    <w:t>@</w:t>
                  </w:r>
                  <w:r>
                    <w:rPr>
                      <w:rFonts w:ascii="仿宋_GB2312" w:hAnsi="仿宋_GB2312" w:cs="仿宋_GB2312" w:eastAsia="仿宋_GB2312"/>
                      <w:sz w:val="21"/>
                      <w:color w:val="000000"/>
                    </w:rPr>
                    <w:t>50fps。</w:t>
                  </w:r>
                </w:p>
              </w:tc>
            </w:tr>
            <w:tr>
              <w:tc>
                <w:tcPr>
                  <w:tcW w:type="dxa" w:w="287"/>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音响</w:t>
                  </w:r>
                  <w:r>
                    <w:rPr>
                      <w:rFonts w:ascii="仿宋_GB2312" w:hAnsi="仿宋_GB2312" w:cs="仿宋_GB2312" w:eastAsia="仿宋_GB2312"/>
                      <w:sz w:val="21"/>
                      <w:color w:val="000000"/>
                    </w:rPr>
                    <w:t>1套</w:t>
                  </w:r>
                </w:p>
              </w:tc>
              <w:tc>
                <w:tcPr>
                  <w:tcW w:type="dxa" w:w="2467"/>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功率不小于</w:t>
                  </w:r>
                  <w:r>
                    <w:rPr>
                      <w:rFonts w:ascii="仿宋_GB2312" w:hAnsi="仿宋_GB2312" w:cs="仿宋_GB2312" w:eastAsia="仿宋_GB2312"/>
                      <w:sz w:val="21"/>
                      <w:color w:val="000000"/>
                    </w:rPr>
                    <w:t>100W，通过蓝牙与系统连接</w:t>
                  </w:r>
                </w:p>
              </w:tc>
            </w:tr>
            <w:tr>
              <w:tc>
                <w:tcPr>
                  <w:tcW w:type="dxa" w:w="287"/>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191型气动激光训练器材</w:t>
                  </w:r>
                </w:p>
              </w:tc>
              <w:tc>
                <w:tcPr>
                  <w:tcW w:type="dxa" w:w="2467"/>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1.重量、外形、部组件位置、重心分布、射击使用方式与QBZ191型5.8毫米自动步枪实装一致，非塑料玩具枪及模型训练枪外壳制作，能够完全实现与实装一致的瞄准及持握使用效果；</w:t>
                  </w:r>
                </w:p>
                <w:p>
                  <w:pPr>
                    <w:pStyle w:val="null3"/>
                    <w:jc w:val="left"/>
                  </w:pPr>
                  <w:r>
                    <w:rPr>
                      <w:rFonts w:ascii="仿宋_GB2312" w:hAnsi="仿宋_GB2312" w:cs="仿宋_GB2312" w:eastAsia="仿宋_GB2312"/>
                      <w:sz w:val="21"/>
                      <w:color w:val="000000"/>
                    </w:rPr>
                    <w:t>2.全重3.5kg（含1个弹匣）；全长796mm（枪托收缩），876mm（枪托展开）；</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枪械采用与实装一致的整体制作工艺，折叠式准星（配备弹簧卡榫）、折叠式表尺照门、背带安装扣、枪管组件、膛口装置、导气调节器、下机匣、上机匣、保险、扳机、弹夹扣、机匣销均为全金属材质，尺寸、纹理、手感、安装位置与实装完全一致，实现可靠耐用；</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4.准星座及前背带扣全钢一体化设计，材质、规格尺寸与实装材质一致，可达到实装瞄准效果；</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5.表尺照门采用与实装相同的金属材质，各个觇孔可切换，觇孔直径规格与实装一致，可达到实装瞄准效果；</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6.步枪护手与准星座及准星一体化设计，配备拆卸卡榫，可同时拆卸，与实装完全一致，便于训练安装各类滑入式战术器材；</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7.枪械保险采用全金属同轴设计，切换挡位具有金属卡位到位声，手感和材质与实装相同；</w:t>
                  </w:r>
                </w:p>
                <w:p>
                  <w:pPr>
                    <w:pStyle w:val="null3"/>
                    <w:jc w:val="left"/>
                  </w:pPr>
                  <w:r>
                    <w:rPr>
                      <w:rFonts w:ascii="仿宋_GB2312" w:hAnsi="仿宋_GB2312" w:cs="仿宋_GB2312" w:eastAsia="仿宋_GB2312"/>
                      <w:sz w:val="21"/>
                      <w:color w:val="000000"/>
                    </w:rPr>
                    <w:t>8.枪管可稳固挂载实装刺刀，用于带刺刀模式射击训练；</w:t>
                  </w:r>
                </w:p>
                <w:p>
                  <w:pPr>
                    <w:pStyle w:val="null3"/>
                    <w:jc w:val="left"/>
                  </w:pPr>
                  <w:r>
                    <w:rPr>
                      <w:rFonts w:ascii="仿宋_GB2312" w:hAnsi="仿宋_GB2312" w:cs="仿宋_GB2312" w:eastAsia="仿宋_GB2312"/>
                      <w:sz w:val="21"/>
                      <w:color w:val="000000"/>
                    </w:rPr>
                    <w:t>9.以气体驱动内置活动组件运动的方式模拟枪支射击时的后坐与振动；</w:t>
                  </w:r>
                </w:p>
                <w:p>
                  <w:pPr>
                    <w:pStyle w:val="null3"/>
                    <w:jc w:val="left"/>
                  </w:pPr>
                  <w:r>
                    <w:rPr>
                      <w:rFonts w:ascii="仿宋_GB2312" w:hAnsi="仿宋_GB2312" w:cs="仿宋_GB2312" w:eastAsia="仿宋_GB2312"/>
                      <w:sz w:val="21"/>
                      <w:color w:val="000000"/>
                    </w:rPr>
                    <w:t>10.弹匣供气，可拆卸，插入弹匣自身可以模拟枪支后坐力震动；拉栓:当拉栓拉动时，激光模拟器模拟上弹；快慢机模式转换:单发模式、保险模式；</w:t>
                  </w:r>
                </w:p>
                <w:p>
                  <w:pPr>
                    <w:pStyle w:val="null3"/>
                    <w:jc w:val="left"/>
                  </w:pPr>
                  <w:r>
                    <w:rPr>
                      <w:rFonts w:ascii="仿宋_GB2312" w:hAnsi="仿宋_GB2312" w:cs="仿宋_GB2312" w:eastAsia="仿宋_GB2312"/>
                      <w:sz w:val="21"/>
                      <w:color w:val="000000"/>
                    </w:rPr>
                    <w:t>11.以发射不可见激光的方式模拟武器发射，发射激光对人眼无害；</w:t>
                  </w:r>
                </w:p>
                <w:p>
                  <w:pPr>
                    <w:pStyle w:val="null3"/>
                    <w:jc w:val="left"/>
                  </w:pPr>
                  <w:r>
                    <w:rPr>
                      <w:rFonts w:ascii="仿宋_GB2312" w:hAnsi="仿宋_GB2312" w:cs="仿宋_GB2312" w:eastAsia="仿宋_GB2312"/>
                      <w:sz w:val="21"/>
                      <w:color w:val="000000"/>
                    </w:rPr>
                    <w:t>12.更换弹匣、首发装填、瞄准、击发等射击操作过程与制式191步枪一致，可以模拟卸弹夹、上弹夹、上膛、射击等动作，可计算弹夹子弹数量，提供计数功能；</w:t>
                  </w:r>
                </w:p>
                <w:p>
                  <w:pPr>
                    <w:pStyle w:val="null3"/>
                    <w:jc w:val="left"/>
                  </w:pPr>
                  <w:r>
                    <w:rPr>
                      <w:rFonts w:ascii="仿宋_GB2312" w:hAnsi="仿宋_GB2312" w:cs="仿宋_GB2312" w:eastAsia="仿宋_GB2312"/>
                      <w:sz w:val="21"/>
                      <w:color w:val="000000"/>
                    </w:rPr>
                    <w:t>13.能够采集保险快慢机、扳机、更换匣、首发装填等操作部件的状态信息；</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14.照门可左右调节，标尺可旋转调节，准星可上下调节；</w:t>
                  </w:r>
                </w:p>
              </w:tc>
            </w:tr>
            <w:tr>
              <w:tc>
                <w:tcPr>
                  <w:tcW w:type="dxa" w:w="287"/>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95-1型气动激光训练器材</w:t>
                  </w:r>
                </w:p>
              </w:tc>
              <w:tc>
                <w:tcPr>
                  <w:tcW w:type="dxa" w:w="2467"/>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1.重量、外形、部组件位置、重心分布、射击使用方式与QBZ95-1型5.8毫米自动步枪实装一致，非塑料玩具枪及模型训练枪外壳制作，能够完全实现与实装一致的瞄准及持握使用效果；</w:t>
                  </w:r>
                </w:p>
                <w:p>
                  <w:pPr>
                    <w:pStyle w:val="null3"/>
                    <w:jc w:val="both"/>
                  </w:pPr>
                  <w:r>
                    <w:rPr>
                      <w:rFonts w:ascii="仿宋_GB2312" w:hAnsi="仿宋_GB2312" w:cs="仿宋_GB2312" w:eastAsia="仿宋_GB2312"/>
                      <w:sz w:val="21"/>
                      <w:color w:val="000000"/>
                    </w:rPr>
                    <w:t>2.全重3.7kg（含1个弹匣）； 全长745mm；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color w:val="000000"/>
                    </w:rPr>
                    <w:t>3.枪械采用与实装一致的整体制作工艺，准星、表尺照门及觇孔切换机构、背带安装扣、枪管组件、膛口装置、导气调节器、机匣、下护手销、扳机、弹匣扣、下扶手销、枪托销均为全金属材质（其中机匣为铝合金材质），尺寸、手感、安装位置与实装完全一致，实现可靠耐用；</w:t>
                  </w:r>
                </w:p>
                <w:p>
                  <w:pPr>
                    <w:pStyle w:val="null3"/>
                    <w:jc w:val="both"/>
                  </w:pPr>
                  <w:r>
                    <w:rPr>
                      <w:rFonts w:ascii="仿宋_GB2312" w:hAnsi="仿宋_GB2312" w:cs="仿宋_GB2312" w:eastAsia="仿宋_GB2312"/>
                      <w:sz w:val="21"/>
                      <w:color w:val="000000"/>
                    </w:rPr>
                    <w:t>4.上护盖、下护手、枪托为改性增强尼龙材质，各部件相互独立可拆卸，与实装规格、手感、耐用度一致；</w:t>
                  </w:r>
                </w:p>
                <w:p>
                  <w:pPr>
                    <w:pStyle w:val="null3"/>
                    <w:jc w:val="both"/>
                  </w:pPr>
                  <w:r>
                    <w:rPr>
                      <w:rFonts w:ascii="仿宋_GB2312" w:hAnsi="仿宋_GB2312" w:cs="仿宋_GB2312" w:eastAsia="仿宋_GB2312"/>
                      <w:sz w:val="21"/>
                      <w:color w:val="000000"/>
                    </w:rPr>
                    <w:t>5.表尺座、准星与枪管全钢一体化设计，材质、规格尺寸与实装相同，可达到实装瞄准效果；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color w:val="000000"/>
                    </w:rPr>
                    <w:t>6.瞄准照门采用与实装相同的金属材质，各个觇孔可切换，觇孔直径规格与实装一致，可达到实装瞄准效果；</w:t>
                  </w:r>
                </w:p>
                <w:p>
                  <w:pPr>
                    <w:pStyle w:val="null3"/>
                    <w:jc w:val="both"/>
                  </w:pPr>
                  <w:r>
                    <w:rPr>
                      <w:rFonts w:ascii="仿宋_GB2312" w:hAnsi="仿宋_GB2312" w:cs="仿宋_GB2312" w:eastAsia="仿宋_GB2312"/>
                      <w:sz w:val="21"/>
                      <w:color w:val="000000"/>
                    </w:rPr>
                    <w:t>7.激光采用枪口发射设计，与实装弹药发射出口完全一致；</w:t>
                  </w:r>
                </w:p>
                <w:p>
                  <w:pPr>
                    <w:pStyle w:val="null3"/>
                    <w:jc w:val="both"/>
                  </w:pPr>
                  <w:r>
                    <w:rPr>
                      <w:rFonts w:ascii="仿宋_GB2312" w:hAnsi="仿宋_GB2312" w:cs="仿宋_GB2312" w:eastAsia="仿宋_GB2312"/>
                      <w:sz w:val="21"/>
                      <w:color w:val="000000"/>
                    </w:rPr>
                    <w:t>8.导气调节开关、上护盖、下护手、枪托采用与实装相同的机构，无需工具可拆卸，能够训练人员掌握实装调节方法，掌握导气阀的应用；</w:t>
                  </w:r>
                </w:p>
                <w:p>
                  <w:pPr>
                    <w:pStyle w:val="null3"/>
                    <w:jc w:val="both"/>
                  </w:pPr>
                  <w:r>
                    <w:rPr>
                      <w:rFonts w:ascii="仿宋_GB2312" w:hAnsi="仿宋_GB2312" w:cs="仿宋_GB2312" w:eastAsia="仿宋_GB2312"/>
                      <w:sz w:val="21"/>
                      <w:color w:val="000000"/>
                    </w:rPr>
                    <w:t>9.枪械保险为金属外包塑料，具备切换到位声，手感和材质与实装一致；</w:t>
                  </w:r>
                </w:p>
                <w:p>
                  <w:pPr>
                    <w:pStyle w:val="null3"/>
                    <w:jc w:val="both"/>
                  </w:pPr>
                  <w:r>
                    <w:rPr>
                      <w:rFonts w:ascii="仿宋_GB2312" w:hAnsi="仿宋_GB2312" w:cs="仿宋_GB2312" w:eastAsia="仿宋_GB2312"/>
                      <w:sz w:val="21"/>
                      <w:color w:val="000000"/>
                    </w:rPr>
                    <w:t>10.枪管可稳固挂载实装刺刀，用于带刺刀模式射击训练；</w:t>
                  </w:r>
                </w:p>
                <w:p>
                  <w:pPr>
                    <w:pStyle w:val="null3"/>
                    <w:jc w:val="both"/>
                  </w:pPr>
                  <w:r>
                    <w:rPr>
                      <w:rFonts w:ascii="仿宋_GB2312" w:hAnsi="仿宋_GB2312" w:cs="仿宋_GB2312" w:eastAsia="仿宋_GB2312"/>
                      <w:sz w:val="21"/>
                      <w:color w:val="000000"/>
                    </w:rPr>
                    <w:t>11.以气体驱动内置活动组件运动的方式模拟枪支射击时的后坐与振动；</w:t>
                  </w:r>
                </w:p>
                <w:p>
                  <w:pPr>
                    <w:pStyle w:val="null3"/>
                    <w:jc w:val="both"/>
                  </w:pPr>
                  <w:r>
                    <w:rPr>
                      <w:rFonts w:ascii="仿宋_GB2312" w:hAnsi="仿宋_GB2312" w:cs="仿宋_GB2312" w:eastAsia="仿宋_GB2312"/>
                      <w:sz w:val="21"/>
                      <w:color w:val="000000"/>
                    </w:rPr>
                    <w:t>12.弹匣供气，可拆卸，插入弹匣自身可以模拟枪支后坐力震动，拉栓:当拉栓拉动时，激光模拟器模拟上弹；快慢机模式转换:单发模式、保险模式；</w:t>
                  </w:r>
                </w:p>
                <w:p>
                  <w:pPr>
                    <w:pStyle w:val="null3"/>
                    <w:jc w:val="both"/>
                  </w:pPr>
                  <w:r>
                    <w:rPr>
                      <w:rFonts w:ascii="仿宋_GB2312" w:hAnsi="仿宋_GB2312" w:cs="仿宋_GB2312" w:eastAsia="仿宋_GB2312"/>
                      <w:sz w:val="21"/>
                      <w:color w:val="000000"/>
                    </w:rPr>
                    <w:t>13.以发射不可见激光的方式模拟武器发射，发射激光对人眼无害；</w:t>
                  </w:r>
                </w:p>
                <w:p>
                  <w:pPr>
                    <w:pStyle w:val="null3"/>
                    <w:jc w:val="both"/>
                  </w:pPr>
                  <w:r>
                    <w:rPr>
                      <w:rFonts w:ascii="仿宋_GB2312" w:hAnsi="仿宋_GB2312" w:cs="仿宋_GB2312" w:eastAsia="仿宋_GB2312"/>
                      <w:sz w:val="21"/>
                      <w:color w:val="000000"/>
                    </w:rPr>
                    <w:t>14.更换弹匣、首发装填、瞄准、击发等射击操作过程与真实95-1步枪一致，可以模拟卸弹夹、上弹夹、上膛、射击等动作，可计算弹夹子弹数量，提供计数功能；</w:t>
                  </w:r>
                </w:p>
                <w:p>
                  <w:pPr>
                    <w:pStyle w:val="null3"/>
                    <w:jc w:val="both"/>
                  </w:pPr>
                  <w:r>
                    <w:rPr>
                      <w:rFonts w:ascii="仿宋_GB2312" w:hAnsi="仿宋_GB2312" w:cs="仿宋_GB2312" w:eastAsia="仿宋_GB2312"/>
                      <w:sz w:val="21"/>
                      <w:color w:val="000000"/>
                    </w:rPr>
                    <w:t>15.能够采集保险快慢机、扳机、更换匣、首发装填等操作部件的状态信息；</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16.照门可左右调节，标尺可旋转调节，准星可上下调节。</w:t>
                  </w:r>
                </w:p>
              </w:tc>
            </w:tr>
            <w:tr>
              <w:tc>
                <w:tcPr>
                  <w:tcW w:type="dxa" w:w="287"/>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92改型电动激光训练器材</w:t>
                  </w:r>
                </w:p>
              </w:tc>
              <w:tc>
                <w:tcPr>
                  <w:tcW w:type="dxa" w:w="2467"/>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功能：真实还原</w:t>
                  </w:r>
                  <w:r>
                    <w:rPr>
                      <w:rFonts w:ascii="仿宋_GB2312" w:hAnsi="仿宋_GB2312" w:cs="仿宋_GB2312" w:eastAsia="仿宋_GB2312"/>
                      <w:sz w:val="21"/>
                      <w:color w:val="000000"/>
                    </w:rPr>
                    <w:t>92G实装，训练射击者据持动作、瞄准、击发等战术要领，达到熟练使用枪械及完成各种射击训练。</w:t>
                  </w:r>
                </w:p>
                <w:p>
                  <w:pPr>
                    <w:pStyle w:val="null3"/>
                    <w:jc w:val="both"/>
                  </w:pPr>
                  <w:r>
                    <w:rPr>
                      <w:rFonts w:ascii="仿宋_GB2312" w:hAnsi="仿宋_GB2312" w:cs="仿宋_GB2312" w:eastAsia="仿宋_GB2312"/>
                      <w:sz w:val="21"/>
                      <w:color w:val="000000"/>
                    </w:rPr>
                    <w:t>1.重量、外形、部组件位置与92G式实装一致，器材为实装改制，能够达到实装的瞄准效果和使用手感；</w:t>
                  </w:r>
                </w:p>
                <w:p>
                  <w:pPr>
                    <w:pStyle w:val="null3"/>
                    <w:jc w:val="both"/>
                  </w:pPr>
                  <w:r>
                    <w:rPr>
                      <w:rFonts w:ascii="仿宋_GB2312" w:hAnsi="仿宋_GB2312" w:cs="仿宋_GB2312" w:eastAsia="仿宋_GB2312"/>
                      <w:sz w:val="21"/>
                      <w:color w:val="000000"/>
                    </w:rPr>
                    <w:t>2.全重0.8±0.1kg（含1个匣）；全长190±2mm；</w:t>
                  </w:r>
                </w:p>
                <w:p>
                  <w:pPr>
                    <w:pStyle w:val="null3"/>
                    <w:jc w:val="both"/>
                  </w:pPr>
                  <w:r>
                    <w:rPr>
                      <w:rFonts w:ascii="仿宋_GB2312" w:hAnsi="仿宋_GB2312" w:cs="仿宋_GB2312" w:eastAsia="仿宋_GB2312"/>
                      <w:sz w:val="21"/>
                      <w:color w:val="000000"/>
                    </w:rPr>
                    <w:t>★3.枪械滑套、准星、照门、保险、扳机、击锤、挂机扳把均为金属材质，握把为尼龙纤维材质，与实装一致；</w:t>
                  </w:r>
                </w:p>
                <w:p>
                  <w:pPr>
                    <w:pStyle w:val="null3"/>
                    <w:jc w:val="both"/>
                  </w:pPr>
                  <w:r>
                    <w:rPr>
                      <w:rFonts w:ascii="仿宋_GB2312" w:hAnsi="仿宋_GB2312" w:cs="仿宋_GB2312" w:eastAsia="仿宋_GB2312"/>
                      <w:sz w:val="21"/>
                      <w:color w:val="000000"/>
                    </w:rPr>
                    <w:t>★4.保险装置采用与实装相同的金属材料，同轴一体化结构，可靠耐用，不会断轴；</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5.挂机扳把全金属材质与实装一致，可拆卸；</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6.握把质感、纹理、手感与实装一致，同时具备金属安全挂环；</w:t>
                  </w:r>
                </w:p>
                <w:p>
                  <w:pPr>
                    <w:pStyle w:val="null3"/>
                    <w:jc w:val="both"/>
                  </w:pPr>
                  <w:r>
                    <w:rPr>
                      <w:rFonts w:ascii="仿宋_GB2312" w:hAnsi="仿宋_GB2312" w:cs="仿宋_GB2312" w:eastAsia="仿宋_GB2312"/>
                      <w:sz w:val="21"/>
                      <w:color w:val="000000"/>
                    </w:rPr>
                    <w:t>7.以电磁驱动内置活动组件运动的方式模拟枪支射击时的后坐与振动；</w:t>
                  </w:r>
                </w:p>
                <w:p>
                  <w:pPr>
                    <w:pStyle w:val="null3"/>
                    <w:jc w:val="both"/>
                  </w:pPr>
                  <w:r>
                    <w:rPr>
                      <w:rFonts w:ascii="仿宋_GB2312" w:hAnsi="仿宋_GB2312" w:cs="仿宋_GB2312" w:eastAsia="仿宋_GB2312"/>
                      <w:sz w:val="21"/>
                      <w:color w:val="000000"/>
                    </w:rPr>
                    <w:t>8.弹匣可拆卸，弹匣供电，不用外部供电、供气，插入弹匣自身可以模拟枪支后坐力震动，便于支持行进射击训练，依靠掩体等战术射击训练；</w:t>
                  </w:r>
                </w:p>
                <w:p>
                  <w:pPr>
                    <w:pStyle w:val="null3"/>
                    <w:jc w:val="both"/>
                  </w:pPr>
                  <w:r>
                    <w:rPr>
                      <w:rFonts w:ascii="仿宋_GB2312" w:hAnsi="仿宋_GB2312" w:cs="仿宋_GB2312" w:eastAsia="仿宋_GB2312"/>
                      <w:sz w:val="21"/>
                      <w:color w:val="000000"/>
                    </w:rPr>
                    <w:t>9.以发射不可见激光的方式模拟武器发射，发射激光对人眼无害；</w:t>
                  </w:r>
                </w:p>
                <w:p>
                  <w:pPr>
                    <w:pStyle w:val="null3"/>
                    <w:jc w:val="both"/>
                  </w:pPr>
                  <w:r>
                    <w:rPr>
                      <w:rFonts w:ascii="仿宋_GB2312" w:hAnsi="仿宋_GB2312" w:cs="仿宋_GB2312" w:eastAsia="仿宋_GB2312"/>
                      <w:sz w:val="21"/>
                      <w:color w:val="000000"/>
                    </w:rPr>
                    <w:t>10.更换弹匣、首发装填、瞄准、击发等射击操作过程与真实92G手枪一致；</w:t>
                  </w:r>
                </w:p>
                <w:p>
                  <w:pPr>
                    <w:pStyle w:val="null3"/>
                    <w:jc w:val="both"/>
                  </w:pPr>
                  <w:r>
                    <w:rPr>
                      <w:rFonts w:ascii="仿宋_GB2312" w:hAnsi="仿宋_GB2312" w:cs="仿宋_GB2312" w:eastAsia="仿宋_GB2312"/>
                      <w:sz w:val="21"/>
                      <w:color w:val="000000"/>
                    </w:rPr>
                    <w:t>11.能够采集扳机、更换弹匣、首发装填等操作部件的状态信息。无线数据传输，通讯距离30米；</w:t>
                  </w:r>
                </w:p>
                <w:p>
                  <w:pPr>
                    <w:pStyle w:val="null3"/>
                    <w:jc w:val="both"/>
                  </w:pPr>
                  <w:r>
                    <w:rPr>
                      <w:rFonts w:ascii="仿宋_GB2312" w:hAnsi="仿宋_GB2312" w:cs="仿宋_GB2312" w:eastAsia="仿宋_GB2312"/>
                      <w:sz w:val="21"/>
                      <w:color w:val="000000"/>
                    </w:rPr>
                    <w:t>12.扳机具备预压限位，可获得射击时的预压到击发的全过程体验；</w:t>
                  </w:r>
                </w:p>
                <w:p>
                  <w:pPr>
                    <w:pStyle w:val="null3"/>
                    <w:jc w:val="both"/>
                  </w:pPr>
                  <w:r>
                    <w:rPr>
                      <w:rFonts w:ascii="仿宋_GB2312" w:hAnsi="仿宋_GB2312" w:cs="仿宋_GB2312" w:eastAsia="仿宋_GB2312"/>
                      <w:sz w:val="21"/>
                      <w:color w:val="000000"/>
                    </w:rPr>
                    <w:t>★13.以发射不可见激光的方式模拟武器发射，发射激光对人眼无害；同时具备可见光（450～680nm）与不可见光（780～980）双波段激光，便于射手进行快速校准训练；双波段激光可使射手进行直观的可视瞄准射击训练，也可进行不可见光的射击考核，有助于射手快速掌握射击要领。</w:t>
                  </w:r>
                </w:p>
                <w:p>
                  <w:pPr>
                    <w:pStyle w:val="null3"/>
                    <w:jc w:val="both"/>
                  </w:pPr>
                  <w:r>
                    <w:rPr>
                      <w:rFonts w:ascii="仿宋_GB2312" w:hAnsi="仿宋_GB2312" w:cs="仿宋_GB2312" w:eastAsia="仿宋_GB2312"/>
                      <w:sz w:val="21"/>
                      <w:color w:val="000000"/>
                    </w:rPr>
                    <w:t>14.供电方式弹匣内置动力锂电池，更换便捷，满电状态下连续可击发数≮200发，每支枪提供不少于2个供电弹匣；配备相应充电设备，弹夹支持快充，快充条件下≯30分钟。</w:t>
                  </w:r>
                </w:p>
              </w:tc>
            </w:tr>
            <w:tr>
              <w:tc>
                <w:tcPr>
                  <w:tcW w:type="dxa" w:w="287"/>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模拟训练基础支撑平台</w:t>
                  </w:r>
                </w:p>
              </w:tc>
              <w:tc>
                <w:tcPr>
                  <w:tcW w:type="dxa" w:w="2467"/>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 软件所有训练科目中的地形、气候、光照、靶机等具有三维效果，训练场景支持缩放和移动视角，以提升训练的沉浸感和真实感；</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2. 系统通过无线自组网，可同时连接不少于10个模拟训练器材，同时进行训练数据传输，实时监测枪械的击发、换弹匣、上膛动作，实时测算射击点坐标，计算击中靶上成绩，报靶精度≯0.1环；</w:t>
                  </w:r>
                </w:p>
                <w:p>
                  <w:pPr>
                    <w:pStyle w:val="null3"/>
                    <w:jc w:val="left"/>
                  </w:pPr>
                  <w:r>
                    <w:rPr>
                      <w:rFonts w:ascii="仿宋_GB2312" w:hAnsi="仿宋_GB2312" w:cs="仿宋_GB2312" w:eastAsia="仿宋_GB2312"/>
                      <w:sz w:val="21"/>
                      <w:color w:val="000000"/>
                    </w:rPr>
                    <w:t>3. 单项射击模拟：提供固定靶、移动靶、隐显靶等基础训练课目，各种训练科目可后台设置地形、气候、光照构建训练场景，设置靶距、靶速、弹药量、出靶时间等参数配置训练科目；</w:t>
                  </w:r>
                </w:p>
                <w:p>
                  <w:pPr>
                    <w:pStyle w:val="null3"/>
                    <w:jc w:val="left"/>
                  </w:pPr>
                  <w:r>
                    <w:rPr>
                      <w:rFonts w:ascii="仿宋_GB2312" w:hAnsi="仿宋_GB2312" w:cs="仿宋_GB2312" w:eastAsia="仿宋_GB2312"/>
                      <w:sz w:val="21"/>
                      <w:color w:val="000000"/>
                    </w:rPr>
                    <w:t>4. 大纲射击模拟：预置警卫警调、反恐等专业大纲射击训练课目；</w:t>
                  </w:r>
                </w:p>
                <w:p>
                  <w:pPr>
                    <w:pStyle w:val="null3"/>
                    <w:jc w:val="left"/>
                  </w:pPr>
                  <w:r>
                    <w:rPr>
                      <w:rFonts w:ascii="仿宋_GB2312" w:hAnsi="仿宋_GB2312" w:cs="仿宋_GB2312" w:eastAsia="仿宋_GB2312"/>
                      <w:sz w:val="21"/>
                      <w:color w:val="000000"/>
                    </w:rPr>
                    <w:t>5. 对抗射击模拟：系统支持人机对抗训练；</w:t>
                  </w:r>
                </w:p>
                <w:p>
                  <w:pPr>
                    <w:pStyle w:val="null3"/>
                    <w:jc w:val="left"/>
                  </w:pPr>
                  <w:r>
                    <w:rPr>
                      <w:rFonts w:ascii="仿宋_GB2312" w:hAnsi="仿宋_GB2312" w:cs="仿宋_GB2312" w:eastAsia="仿宋_GB2312"/>
                      <w:sz w:val="21"/>
                      <w:color w:val="000000"/>
                    </w:rPr>
                    <w:t>6. 运动射击科目模拟：系统模拟idpa射击比赛场景的运动射击过程和射击成绩判定，射手视角可随科目进程自动切换，提供靶面分区域的idpa计分规则，提供靶面按命中弹数的idpa计分规则。</w:t>
                  </w:r>
                </w:p>
                <w:p>
                  <w:pPr>
                    <w:pStyle w:val="null3"/>
                    <w:jc w:val="left"/>
                  </w:pPr>
                  <w:r>
                    <w:rPr>
                      <w:rFonts w:ascii="仿宋_GB2312" w:hAnsi="仿宋_GB2312" w:cs="仿宋_GB2312" w:eastAsia="仿宋_GB2312"/>
                      <w:sz w:val="21"/>
                      <w:color w:val="000000"/>
                    </w:rPr>
                    <w:t>7. 训练评估：对受训人员的射击训练过程进行自动评估，支持实时瞄准轨迹与命中点综合评估，通过文字和图表方式直观呈现评估结论，分析受训人员射击中存在的问题，评估内容包括据枪水平垂直稳定性、瞄准稳定性、瞄准精度、击发稳定性、击发时机、弹着点稳定度、弹着点精准度等；</w:t>
                  </w:r>
                </w:p>
                <w:p>
                  <w:pPr>
                    <w:pStyle w:val="null3"/>
                    <w:jc w:val="left"/>
                  </w:pPr>
                  <w:r>
                    <w:rPr>
                      <w:rFonts w:ascii="仿宋_GB2312" w:hAnsi="仿宋_GB2312" w:cs="仿宋_GB2312" w:eastAsia="仿宋_GB2312"/>
                      <w:sz w:val="21"/>
                      <w:color w:val="000000"/>
                    </w:rPr>
                    <w:t>8. 场景视角模拟：系统能根据训练姿态，自动调整训练场景图像视角；</w:t>
                  </w:r>
                </w:p>
                <w:p>
                  <w:pPr>
                    <w:pStyle w:val="null3"/>
                    <w:jc w:val="left"/>
                  </w:pPr>
                  <w:r>
                    <w:rPr>
                      <w:rFonts w:ascii="仿宋_GB2312" w:hAnsi="仿宋_GB2312" w:cs="仿宋_GB2312" w:eastAsia="仿宋_GB2312"/>
                      <w:sz w:val="21"/>
                      <w:color w:val="000000"/>
                    </w:rPr>
                    <w:t>9. 场景推进模拟：系统能根据科目设置，自动推进场景画面；</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10. 夜间射击模拟：系统能实现照射射击、夜视器材射击、机械瞄具射击等夜间射击大纲科目；</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11. 气象模拟：系统可模拟晴天、阴天、小雪、大雪、雾霾等天气，所有模拟场景都可支持天气的自由匹配，与实景符合；</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12. 光照模拟：按24小时划分模拟展示日光照射变化，单项、大纲、对抗射击模拟等科目的所有场景都可支持时间的自由匹配；</w:t>
                  </w:r>
                </w:p>
                <w:p>
                  <w:pPr>
                    <w:pStyle w:val="null3"/>
                    <w:jc w:val="left"/>
                  </w:pPr>
                  <w:r>
                    <w:rPr>
                      <w:rFonts w:ascii="仿宋_GB2312" w:hAnsi="仿宋_GB2312" w:cs="仿宋_GB2312" w:eastAsia="仿宋_GB2312"/>
                      <w:sz w:val="21"/>
                      <w:color w:val="000000"/>
                    </w:rPr>
                    <w:t>13. 训练管理：实现系统的初始配置、人员管理、训练管理、考核管理、成绩评估等功能；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14. 训练软件基于国产的CPU及操作系统运行；</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15. 可进行预置靶面及用户自定义靶面制作和靶面参数设置，提供单独的靶面编辑工具。</w:t>
                  </w:r>
                </w:p>
              </w:tc>
            </w:tr>
            <w:tr>
              <w:tc>
                <w:tcPr>
                  <w:tcW w:type="dxa" w:w="287"/>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投影幕</w:t>
                  </w:r>
                </w:p>
              </w:tc>
              <w:tc>
                <w:tcPr>
                  <w:tcW w:type="dxa" w:w="2467"/>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1.不小于180寸（长3986mm，高2243mm）；</w:t>
                  </w:r>
                </w:p>
                <w:p>
                  <w:pPr>
                    <w:pStyle w:val="null3"/>
                    <w:jc w:val="left"/>
                  </w:pPr>
                  <w:r>
                    <w:rPr>
                      <w:rFonts w:ascii="仿宋_GB2312" w:hAnsi="仿宋_GB2312" w:cs="仿宋_GB2312" w:eastAsia="仿宋_GB2312"/>
                      <w:sz w:val="21"/>
                      <w:color w:val="000000"/>
                    </w:rPr>
                    <w:t>2.幕布使用PVC材质；</w:t>
                  </w:r>
                </w:p>
                <w:p>
                  <w:pPr>
                    <w:pStyle w:val="null3"/>
                    <w:jc w:val="left"/>
                  </w:pPr>
                  <w:r>
                    <w:rPr>
                      <w:rFonts w:ascii="仿宋_GB2312" w:hAnsi="仿宋_GB2312" w:cs="仿宋_GB2312" w:eastAsia="仿宋_GB2312"/>
                      <w:sz w:val="21"/>
                      <w:color w:val="000000"/>
                    </w:rPr>
                    <w:t>3.幕布展开平整，无明显褶皱。</w:t>
                  </w:r>
                </w:p>
              </w:tc>
            </w:tr>
            <w:tr>
              <w:tc>
                <w:tcPr>
                  <w:tcW w:type="dxa" w:w="3180"/>
                  <w:gridSpan w:val="3"/>
                  <w:tcBorders>
                    <w:top w:val="none" w:color="000000" w:sz="4"/>
                    <w:left w:val="single" w:color="000000" w:sz="8"/>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备注：包含一套计算机控制系统、一套高清投影仪设备、一套红外采集摄像机、一套音响装置、一套</w:t>
                  </w:r>
                  <w:r>
                    <w:rPr>
                      <w:rFonts w:ascii="仿宋_GB2312" w:hAnsi="仿宋_GB2312" w:cs="仿宋_GB2312" w:eastAsia="仿宋_GB2312"/>
                      <w:sz w:val="21"/>
                      <w:color w:val="000000"/>
                    </w:rPr>
                    <w:t>191型气动激光训练器材、一套95 - 1型气动激光训练器材、一套模拟训练基础支撑平台、一套投影幕，以及五套92改型电动激光训练器材。</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自合同签订之日起15个日历日内交付完成。</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项目交付终验合格后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1.质保期为终验合格之日起不少于12个月（技术参数中有要求的按参数要求提供质 保）。成交人承诺的质保时间超过磋商文件要求的，按其承诺时间质保。 2.成交人承诺的质保期起始时间为终验合格之日。3.所有产品质量必须符合国家有关规范和相关政策。所有设备及辅材必须是未使用过的新产品，质量优良、渠道正当，配置合理。 4.质保期出现的质量问题由成交人负责解决并承担所有费用。质保期后如需更换零部件，成交人应以优惠价提供。</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2.未按合同要求提供产品质量不能满足技术要求，采购人有权终止合同，并对供方违约行为进行追究，同时按《中华人民共和国政府采购法》的有关规定进行处罚。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1、供应商需对所获竞争性磋商采购文件内容全程保密确保信息安全，不得泄露给任何第三方，违者承担相应责任。 2、成交结果公示期结束时，成交人向采购代理机构提供胶装成册的纸质投标文件叁份，内容和通过电子化交易平台实施的政府采购项目提交的投标文件一致。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近三年任意一年的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近三年任意一年的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税收交纳证明</w:t>
            </w:r>
          </w:p>
        </w:tc>
        <w:tc>
          <w:tcPr>
            <w:tcW w:type="dxa" w:w="3322"/>
          </w:tcPr>
          <w:p>
            <w:pPr>
              <w:pStyle w:val="null3"/>
            </w:pPr>
            <w:r>
              <w:rPr>
                <w:rFonts w:ascii="仿宋_GB2312" w:hAnsi="仿宋_GB2312" w:cs="仿宋_GB2312" w:eastAsia="仿宋_GB2312"/>
              </w:rPr>
              <w:t>提供响应文件递交截止时间前一年内任意一个月的缴费凭据（依法免税的供应商应提供相关文件证明）；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社会保障资金交纳证明</w:t>
            </w:r>
          </w:p>
        </w:tc>
        <w:tc>
          <w:tcPr>
            <w:tcW w:type="dxa" w:w="3322"/>
          </w:tcPr>
          <w:p>
            <w:pPr>
              <w:pStyle w:val="null3"/>
            </w:pPr>
            <w:r>
              <w:rPr>
                <w:rFonts w:ascii="仿宋_GB2312" w:hAnsi="仿宋_GB2312" w:cs="仿宋_GB2312" w:eastAsia="仿宋_GB2312"/>
              </w:rPr>
              <w:t>提供响应文件递交截止时间前一年内任意一个月的社保缴费凭据或社保机构开具的社会保险参保缴费情况证明（依法不需要缴纳社会保障资金的供应商应提供相关证明）；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承诺、说明及书面声明</w:t>
            </w:r>
          </w:p>
        </w:tc>
        <w:tc>
          <w:tcPr>
            <w:tcW w:type="dxa" w:w="3322"/>
          </w:tcPr>
          <w:p>
            <w:pPr>
              <w:pStyle w:val="null3"/>
            </w:pPr>
            <w:r>
              <w:rPr>
                <w:rFonts w:ascii="仿宋_GB2312" w:hAnsi="仿宋_GB2312" w:cs="仿宋_GB2312" w:eastAsia="仿宋_GB2312"/>
              </w:rPr>
              <w:t>1、提供具有履行本合同所必需的设备和专业技术能力的说明及承诺； 2、提供参加政府采购活动前三年内在经营活动中没有重大违法记录的书面声明；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法定代表人参与磋商时需提供法定代表人身份证复印件；被授权人参与磋商时需提供法定代表人授权委托书；</w:t>
            </w:r>
          </w:p>
        </w:tc>
        <w:tc>
          <w:tcPr>
            <w:tcW w:type="dxa" w:w="1661"/>
          </w:tcPr>
          <w:p>
            <w:pPr>
              <w:pStyle w:val="null3"/>
            </w:pPr>
            <w:r>
              <w:rPr>
                <w:rFonts w:ascii="仿宋_GB2312" w:hAnsi="仿宋_GB2312" w:cs="仿宋_GB2312" w:eastAsia="仿宋_GB2312"/>
              </w:rPr>
              <w:t>供应商应提交的相关资格证明材料.docx 法定代表人身份证明书.docx 法定代表人授权委托书.docx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必备资格，以评审现场查询结果为准，达不到要求，视为无效）。</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供应商必须按照磋商文件的规定和要求在响应文件中指定的页面落款处加盖公章或由法定代表人或授权人签名（或盖章），其余页面逐页盖公章，否则将作为无效响应文件处理。磋商文件凡是要求法定代表人签名或盖章之处，非法人单位的负责人参照执行。</w:t>
            </w:r>
          </w:p>
        </w:tc>
        <w:tc>
          <w:tcPr>
            <w:tcW w:type="dxa" w:w="1661"/>
          </w:tcPr>
          <w:p>
            <w:pPr>
              <w:pStyle w:val="null3"/>
            </w:pPr>
            <w:r>
              <w:rPr>
                <w:rFonts w:ascii="仿宋_GB2312" w:hAnsi="仿宋_GB2312" w:cs="仿宋_GB2312" w:eastAsia="仿宋_GB2312"/>
              </w:rPr>
              <w:t>中小企业声明函 商务应答表 供应商认为有必要说明、阐述的事项或其他材料.docx 报价表 响应文件封面 产品技术参数表 分项报价表.docx 供应商应提交的相关资格证明材料.docx 法定代表人身份证明书.docx 残疾人福利性单位声明函 供货方案.docx 标的清单 响应函 法定代表人授权委托书.docx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应满足磋商文件中规定的90天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响应文件所有报价未超过采购限额</w:t>
            </w:r>
          </w:p>
        </w:tc>
        <w:tc>
          <w:tcPr>
            <w:tcW w:type="dxa" w:w="1661"/>
          </w:tcPr>
          <w:p>
            <w:pPr>
              <w:pStyle w:val="null3"/>
            </w:pPr>
            <w:r>
              <w:rPr>
                <w:rFonts w:ascii="仿宋_GB2312" w:hAnsi="仿宋_GB2312" w:cs="仿宋_GB2312" w:eastAsia="仿宋_GB2312"/>
              </w:rPr>
              <w:t>分项报价表.docx 商务应答表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供货期限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分项报价表.docx 商务应答表 供货方案.docx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供应商投标产品中每有一项为节能产品政府采购清单中优先采购的节能产品的计0.5分，每有一项为环境标志产品政府采购清单中的产品的计0.5分，每有一个产品同时为节能产品政府采购清单中优先采购的节能产品和环境标志产品政府采购清单中的产品的得1分，满分2分；（提供认证机构出具的、处于有效期之内的节能产品、环境标志产品认证证书）</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技术指标、功能及配置</w:t>
            </w:r>
          </w:p>
        </w:tc>
        <w:tc>
          <w:tcPr>
            <w:tcW w:type="dxa" w:w="2492"/>
          </w:tcPr>
          <w:p>
            <w:pPr>
              <w:pStyle w:val="null3"/>
            </w:pPr>
            <w:r>
              <w:rPr>
                <w:rFonts w:ascii="仿宋_GB2312" w:hAnsi="仿宋_GB2312" w:cs="仿宋_GB2312" w:eastAsia="仿宋_GB2312"/>
              </w:rPr>
              <w:t>根据供应商对所投产品技术参数的响应情况进行评审：完全符合、响应磋商文件的每一项 要求，没有负偏离计17分；“▲”号参数为重要技术指标，负偏离一项扣1分；非“▲”号参数，负偏离一项扣0.5分，扣完为止。提供“▲”号参数的相应的证明材料（包括但不限于功能截图、彩页、产品证书、检测报告等相关资料）。予以佐证，未提供证明材料的按负偏离认定。</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供货及技术方案</w:t>
            </w:r>
          </w:p>
        </w:tc>
        <w:tc>
          <w:tcPr>
            <w:tcW w:type="dxa" w:w="2492"/>
          </w:tcPr>
          <w:p>
            <w:pPr>
              <w:pStyle w:val="null3"/>
            </w:pPr>
            <w:r>
              <w:rPr>
                <w:rFonts w:ascii="仿宋_GB2312" w:hAnsi="仿宋_GB2312" w:cs="仿宋_GB2312" w:eastAsia="仿宋_GB2312"/>
              </w:rPr>
              <w:t>提供供应商针对本项目的实施方案，包含但不限于：①备货、供货进度及保证措施；②项目团队人员安排及责任制度；③项目技术方案；④安全保障措施；⑤安装调试检测方案；⑥项目验收方案；⑦应急处理措施。 评审标准： 方案各项内容全面详细、阐述条理清晰、具有针对性、合理可行得21分。每有一项缺项扣3分，每有一处内容存在缺陷，扣1分，扣完为止。 备注：缺陷是指内容不合理、内容仅有粗略表述不具体、方案内容不符合行业实际或国家法规政策、内容表述前后不一致、套用其他项目方案或与项目需求不匹配及其他不利于项目实施等任意一种情形。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针对本项目具有质量保证及履约方案，包括但不限于：①质量保证范围；②质量保证承诺及措施；③履约能力方案及措施。 评审标准： 方案各项内容全面详细、阐述条理清晰、具有针对性、合理可行得9分。每有一项缺项扣3分，每有一处内容存在缺陷，扣1分，扣完为止。 备注：缺陷是指内容不合理、内容仅有粗略表述不具体、方案内容不符合行业实际或国家法规政策、内容表述前后不一致、套用其他项目方案或与项目需求不匹配及其他不利于项目实施等任意一种情形。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售后服务方案及培训方案</w:t>
            </w:r>
          </w:p>
        </w:tc>
        <w:tc>
          <w:tcPr>
            <w:tcW w:type="dxa" w:w="2492"/>
          </w:tcPr>
          <w:p>
            <w:pPr>
              <w:pStyle w:val="null3"/>
            </w:pPr>
            <w:r>
              <w:rPr>
                <w:rFonts w:ascii="仿宋_GB2312" w:hAnsi="仿宋_GB2312" w:cs="仿宋_GB2312" w:eastAsia="仿宋_GB2312"/>
              </w:rPr>
              <w:t>针对本项目有具体的售后服务方案,包含但不限于：①售后服务承诺及措施；②售后服务机构及技术支持；③日常维护方案、巡检方案及措施；④项目交付用户后出现故障响应时间及措施；⑤培训方案及培训计划安排。 评审标准： 方案各项内容全面详细、阐述条理清晰、具有针对性、合理可行得15分。每有一项缺项扣3分，每有一处内容存在缺陷，扣1分，扣完为止。 备注：缺陷是指内容不合理、内容仅有粗略表述不具体、方案内容不符合行业实际或国家法规政策、内容表述前后不一致、套用其他项目方案或与项目需求不匹配及其他不利于项目实施等任意一种情形。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供应商提供2022年1月1日至今的类似项目业绩。每提供一项得2分，最高得6分；业绩证明以合同签订时间为准，（供应商应在投标文件中提供业绩合同电子件或扫描件）。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供货方案.docx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磋商报价得分=（磋商基准价/最终磋商报价）×价格权值（即30%）×100 （因落实政府采购政策进行价格调整的，以调整后的价格计算评标基准价和磋商报价）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详见附件：供货方案.docx</w:t>
      </w:r>
    </w:p>
    <w:p>
      <w:pPr>
        <w:pStyle w:val="null3"/>
        <w:ind w:firstLine="960"/>
      </w:pPr>
      <w:r>
        <w:rPr>
          <w:rFonts w:ascii="仿宋_GB2312" w:hAnsi="仿宋_GB2312" w:cs="仿宋_GB2312" w:eastAsia="仿宋_GB2312"/>
        </w:rPr>
        <w:t>详见附件：供应商认为有必要说明、阐述的事项或其他材料.docx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