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版本号：THZB-CG-2026-00120260420002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耀州区财政局机关灶劳务承包服务项目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THZB-CG-2026-001</w:t>
      </w:r>
      <w:r>
        <w:br/>
      </w:r>
      <w:r>
        <w:br/>
      </w:r>
      <w:r>
        <w:br/>
      </w:r>
    </w:p>
    <w:p>
      <w:pPr>
        <w:pStyle w:val="null3"/>
        <w:jc w:val="center"/>
        <w:outlineLvl w:val="2"/>
      </w:pPr>
      <w:r>
        <w:rPr>
          <w:rFonts w:ascii="仿宋_GB2312" w:hAnsi="仿宋_GB2312" w:cs="仿宋_GB2312" w:eastAsia="仿宋_GB2312"/>
          <w:sz w:val="28"/>
          <w:b/>
        </w:rPr>
        <w:t>铜川市耀州区财政局</w:t>
      </w:r>
    </w:p>
    <w:p>
      <w:pPr>
        <w:pStyle w:val="null3"/>
        <w:jc w:val="center"/>
        <w:outlineLvl w:val="2"/>
      </w:pPr>
      <w:r>
        <w:rPr>
          <w:rFonts w:ascii="仿宋_GB2312" w:hAnsi="仿宋_GB2312" w:cs="仿宋_GB2312" w:eastAsia="仿宋_GB2312"/>
          <w:sz w:val="28"/>
          <w:b/>
        </w:rPr>
        <w:t>陕西泰禾项目管理有限公司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陕西泰禾项目管理有限公司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铜川市耀州区财政局</w:t>
      </w:r>
      <w:r>
        <w:rPr>
          <w:rFonts w:ascii="仿宋_GB2312" w:hAnsi="仿宋_GB2312" w:cs="仿宋_GB2312" w:eastAsia="仿宋_GB2312"/>
        </w:rPr>
        <w:t>委托，拟对</w:t>
      </w:r>
      <w:r>
        <w:rPr>
          <w:rFonts w:ascii="仿宋_GB2312" w:hAnsi="仿宋_GB2312" w:cs="仿宋_GB2312" w:eastAsia="仿宋_GB2312"/>
        </w:rPr>
        <w:t>耀州区财政局机关灶劳务承包服务项目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THZB-CG-2026-001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耀州区财政局机关灶劳务承包服务项目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耀州区财政局职工食堂，位于耀州区步寿路5号，厨房面积约为75平方米，库房面积约为15平方米，餐厅面积约为240平方米，就餐人员120人，承包方负责提供早餐、午餐、晚餐及公务接待等工作用餐，并负责餐厅、后厨保洁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采购包1（耀州区财政局机关灶劳务承包服务项目）：属于专门面向中小企业采购。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供应商需在项目电子化交易系统中按要求上传相应证明文件并进行电子签章。</w:t>
      </w:r>
    </w:p>
    <w:p>
      <w:pPr>
        <w:pStyle w:val="null3"/>
      </w:pPr>
      <w:r>
        <w:rPr>
          <w:rFonts w:ascii="仿宋_GB2312" w:hAnsi="仿宋_GB2312" w:cs="仿宋_GB2312" w:eastAsia="仿宋_GB2312"/>
        </w:rPr>
        <w:t>2、财务状况报告：提供 2024或2025年度经审计的财务会计报告（至少包括审计报告、资产负债表和利润表，成立时间至提交响应文件截止时间不足一年的可提供成立后任意时段的资产负债表）或提交响应文件截止时间三个月内其基本账户开户银行出具的资信证明（附基本存款账户信息）。供应商需在项目电子化交易系统中按要求上传相应证明文件并进行电子签章。</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p>
      <w:pPr>
        <w:pStyle w:val="null3"/>
      </w:pPr>
      <w:r>
        <w:rPr>
          <w:rFonts w:ascii="仿宋_GB2312" w:hAnsi="仿宋_GB2312" w:cs="仿宋_GB2312" w:eastAsia="仿宋_GB2312"/>
        </w:rPr>
        <w:t>4、税收缴纳证明：提交响应文件截止时间前一年内至少一个月的纳税证明或完税证明，纳税证明或完税证明上应有代收机构或税务机关的公章或业务专用章。供应商需在项目电子化交易系统中按要求上传相应证明文件并进行电子签章。</w:t>
      </w:r>
    </w:p>
    <w:p>
      <w:pPr>
        <w:pStyle w:val="null3"/>
      </w:pPr>
      <w:r>
        <w:rPr>
          <w:rFonts w:ascii="仿宋_GB2312" w:hAnsi="仿宋_GB2312" w:cs="仿宋_GB2312" w:eastAsia="仿宋_GB2312"/>
        </w:rPr>
        <w:t>5、履约能力：提供具有履行合同所必需的设备和专业技术能力的书面声明。供应商需在项目电子化交易系统中按要求完成承诺函并进行电子签章。</w:t>
      </w:r>
    </w:p>
    <w:p>
      <w:pPr>
        <w:pStyle w:val="null3"/>
      </w:pPr>
      <w:r>
        <w:rPr>
          <w:rFonts w:ascii="仿宋_GB2312" w:hAnsi="仿宋_GB2312" w:cs="仿宋_GB2312" w:eastAsia="仿宋_GB2312"/>
        </w:rPr>
        <w:t>6、无重大违法记录声明：截至响应文件递交截止时间，供应商被列入《信用中国》“严重失信主体”及“重大税收违法失信主体”名单的，被列入《中国执行信息公开网》“失信被执行人”名单的，被列入《中国政府采购网》记录的“政府采购严重违法失信行为记录名单”中的，不得参加本项目的采购活动。供应商提供参加本次政府采购活动前3年内在经营活动中没有重大违法记录，以及未被列入严重失信主体、重大税收违法失信主体、失信被执行人、政府采购严重违法失信行为记录名单的书面声明。供应商需在项目电子化交易系统中按要求完成书面声明并进行电子签章。</w:t>
      </w:r>
    </w:p>
    <w:p>
      <w:pPr>
        <w:pStyle w:val="null3"/>
      </w:pPr>
      <w:r>
        <w:rPr>
          <w:rFonts w:ascii="仿宋_GB2312" w:hAnsi="仿宋_GB2312" w:cs="仿宋_GB2312" w:eastAsia="仿宋_GB2312"/>
        </w:rPr>
        <w:t>7、法定代表人（主要负责人）委托授权书\身份证明：法定代表人（主要负责人）委托代理人参加投标时，应提供法定代表人（主要负责人）授权委托书；法定代表人（主要负责人）亲自参加投标时，应提供法定代表人（主要负责人）身份证明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铜川市耀州区步寿路5号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13309199030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陕西省西安市雁塔区西安曲江新区金泘沱二路金辉环球中心d座505号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18192696756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国家发展改革委《关于进一步放开建设项目专业服务价格的通知》（发改价格〔2015〕299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铜川市耀州区财政局</w:t>
      </w:r>
      <w:r>
        <w:rPr>
          <w:rFonts w:ascii="仿宋_GB2312" w:hAnsi="仿宋_GB2312" w:cs="仿宋_GB2312" w:eastAsia="仿宋_GB2312"/>
        </w:rPr>
        <w:t>和</w:t>
      </w:r>
      <w:r>
        <w:rPr>
          <w:rFonts w:ascii="仿宋_GB2312" w:hAnsi="仿宋_GB2312" w:cs="仿宋_GB2312" w:eastAsia="仿宋_GB2312"/>
        </w:rPr>
        <w:t>陕西泰禾项目管理有限公司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1、《食品安全法》及其实施条例以及餐饮业卫生规范管理要求。 2、采购人食堂管理规范及考核要求。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联系人：刘康</w:t>
      </w:r>
    </w:p>
    <w:p>
      <w:pPr>
        <w:pStyle w:val="null3"/>
      </w:pPr>
      <w:r>
        <w:rPr>
          <w:rFonts w:ascii="仿宋_GB2312" w:hAnsi="仿宋_GB2312" w:cs="仿宋_GB2312" w:eastAsia="仿宋_GB2312"/>
        </w:rPr>
        <w:t>联系电话：18192696756</w:t>
      </w:r>
    </w:p>
    <w:p>
      <w:pPr>
        <w:pStyle w:val="null3"/>
      </w:pPr>
      <w:r>
        <w:rPr>
          <w:rFonts w:ascii="仿宋_GB2312" w:hAnsi="仿宋_GB2312" w:cs="仿宋_GB2312" w:eastAsia="仿宋_GB2312"/>
        </w:rPr>
        <w:t>地址：陕西省西安曲江新区金泘沱二路金辉环球中心d座505号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耀州区财政局职工食堂，位于耀州区步寿路5号，厨房面积约为75平方米，库房面积约为15平方米，餐厅面积约为240平方米，就餐人员120人，承包方负责提供早餐、午餐、晚餐及公务接待等工作用餐，并负责餐厅、后厨保洁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耀州区财政局机关灶劳务承包服务项目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标的名称：耀州区财政局机关灶劳务承包服务项目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基本情况：</w:t>
            </w:r>
          </w:p>
          <w:p>
            <w:pPr>
              <w:pStyle w:val="null3"/>
              <w:ind w:firstLine="420"/>
              <w:jc w:val="both"/>
            </w:pPr>
            <w:r>
              <w:rPr>
                <w:rFonts w:ascii="仿宋_GB2312" w:hAnsi="仿宋_GB2312" w:cs="仿宋_GB2312" w:eastAsia="仿宋_GB2312"/>
                <w:sz w:val="21"/>
              </w:rPr>
              <w:t>铜川市耀州区财政局职工食堂，位于耀州区步寿路</w:t>
            </w:r>
            <w:r>
              <w:rPr>
                <w:rFonts w:ascii="仿宋_GB2312" w:hAnsi="仿宋_GB2312" w:cs="仿宋_GB2312" w:eastAsia="仿宋_GB2312"/>
                <w:sz w:val="21"/>
              </w:rPr>
              <w:t>5</w:t>
            </w:r>
            <w:r>
              <w:rPr>
                <w:rFonts w:ascii="仿宋_GB2312" w:hAnsi="仿宋_GB2312" w:cs="仿宋_GB2312" w:eastAsia="仿宋_GB2312"/>
                <w:sz w:val="21"/>
              </w:rPr>
              <w:t>号，厨房面积约为</w:t>
            </w:r>
            <w:r>
              <w:rPr>
                <w:rFonts w:ascii="仿宋_GB2312" w:hAnsi="仿宋_GB2312" w:cs="仿宋_GB2312" w:eastAsia="仿宋_GB2312"/>
                <w:sz w:val="21"/>
              </w:rPr>
              <w:t>75</w:t>
            </w:r>
            <w:r>
              <w:rPr>
                <w:rFonts w:ascii="仿宋_GB2312" w:hAnsi="仿宋_GB2312" w:cs="仿宋_GB2312" w:eastAsia="仿宋_GB2312"/>
                <w:sz w:val="21"/>
              </w:rPr>
              <w:t>平方米，库房面积约为</w:t>
            </w:r>
            <w:r>
              <w:rPr>
                <w:rFonts w:ascii="仿宋_GB2312" w:hAnsi="仿宋_GB2312" w:cs="仿宋_GB2312" w:eastAsia="仿宋_GB2312"/>
                <w:sz w:val="21"/>
              </w:rPr>
              <w:t>15</w:t>
            </w:r>
            <w:r>
              <w:rPr>
                <w:rFonts w:ascii="仿宋_GB2312" w:hAnsi="仿宋_GB2312" w:cs="仿宋_GB2312" w:eastAsia="仿宋_GB2312"/>
                <w:sz w:val="21"/>
              </w:rPr>
              <w:t>平方米，餐厅面积约为</w:t>
            </w:r>
            <w:r>
              <w:rPr>
                <w:rFonts w:ascii="仿宋_GB2312" w:hAnsi="仿宋_GB2312" w:cs="仿宋_GB2312" w:eastAsia="仿宋_GB2312"/>
                <w:sz w:val="21"/>
              </w:rPr>
              <w:t>240</w:t>
            </w:r>
            <w:r>
              <w:rPr>
                <w:rFonts w:ascii="仿宋_GB2312" w:hAnsi="仿宋_GB2312" w:cs="仿宋_GB2312" w:eastAsia="仿宋_GB2312"/>
                <w:sz w:val="21"/>
              </w:rPr>
              <w:t>平方米，就餐人员</w:t>
            </w:r>
            <w:r>
              <w:rPr>
                <w:rFonts w:ascii="仿宋_GB2312" w:hAnsi="仿宋_GB2312" w:cs="仿宋_GB2312" w:eastAsia="仿宋_GB2312"/>
                <w:sz w:val="21"/>
              </w:rPr>
              <w:t>120</w:t>
            </w:r>
            <w:r>
              <w:rPr>
                <w:rFonts w:ascii="仿宋_GB2312" w:hAnsi="仿宋_GB2312" w:cs="仿宋_GB2312" w:eastAsia="仿宋_GB2312"/>
                <w:sz w:val="21"/>
              </w:rPr>
              <w:t>人，承包方负责提供早餐、午餐、晚餐及公务接待等工作用餐，并负责餐厅、后厨保洁等工作。</w:t>
            </w:r>
          </w:p>
          <w:p>
            <w:pPr>
              <w:pStyle w:val="null3"/>
              <w:jc w:val="both"/>
            </w:pPr>
            <w:r>
              <w:rPr>
                <w:rFonts w:ascii="仿宋_GB2312" w:hAnsi="仿宋_GB2312" w:cs="仿宋_GB2312" w:eastAsia="仿宋_GB2312"/>
                <w:sz w:val="21"/>
              </w:rPr>
              <w:t>配餐标准：</w:t>
            </w:r>
          </w:p>
          <w:p>
            <w:pPr>
              <w:pStyle w:val="null3"/>
              <w:jc w:val="both"/>
            </w:pPr>
            <w:r>
              <w:rPr>
                <w:rFonts w:ascii="仿宋_GB2312" w:hAnsi="仿宋_GB2312" w:cs="仿宋_GB2312" w:eastAsia="仿宋_GB2312"/>
                <w:sz w:val="21"/>
                <w:b/>
              </w:rPr>
              <w:t>早餐：</w:t>
            </w:r>
          </w:p>
          <w:p>
            <w:pPr>
              <w:pStyle w:val="null3"/>
              <w:ind w:left="420"/>
              <w:jc w:val="both"/>
            </w:pPr>
            <w:r>
              <w:rPr>
                <w:rFonts w:ascii="仿宋_GB2312" w:hAnsi="仿宋_GB2312" w:cs="仿宋_GB2312" w:eastAsia="仿宋_GB2312"/>
                <w:sz w:val="21"/>
              </w:rPr>
              <w:t>主食类（提供一种，如包子、花卷、馒头、油条等）</w:t>
            </w:r>
          </w:p>
          <w:p>
            <w:pPr>
              <w:pStyle w:val="null3"/>
              <w:ind w:left="420"/>
              <w:jc w:val="both"/>
            </w:pPr>
            <w:r>
              <w:rPr>
                <w:rFonts w:ascii="仿宋_GB2312" w:hAnsi="仿宋_GB2312" w:cs="仿宋_GB2312" w:eastAsia="仿宋_GB2312"/>
                <w:sz w:val="21"/>
              </w:rPr>
              <w:t>稀饭类（提供一种，如小米粥、豆浆、八宝粥等）</w:t>
            </w:r>
          </w:p>
          <w:p>
            <w:pPr>
              <w:pStyle w:val="null3"/>
              <w:ind w:left="420"/>
              <w:jc w:val="both"/>
            </w:pPr>
            <w:r>
              <w:rPr>
                <w:rFonts w:ascii="仿宋_GB2312" w:hAnsi="仿宋_GB2312" w:cs="仿宋_GB2312" w:eastAsia="仿宋_GB2312"/>
                <w:sz w:val="21"/>
              </w:rPr>
              <w:t>热菜类（至少</w:t>
            </w:r>
            <w:r>
              <w:rPr>
                <w:rFonts w:ascii="仿宋_GB2312" w:hAnsi="仿宋_GB2312" w:cs="仿宋_GB2312" w:eastAsia="仿宋_GB2312"/>
                <w:sz w:val="21"/>
              </w:rPr>
              <w:t>2-3</w:t>
            </w:r>
            <w:r>
              <w:rPr>
                <w:rFonts w:ascii="仿宋_GB2312" w:hAnsi="仿宋_GB2312" w:cs="仿宋_GB2312" w:eastAsia="仿宋_GB2312"/>
                <w:sz w:val="21"/>
              </w:rPr>
              <w:t>道）</w:t>
            </w:r>
          </w:p>
          <w:p>
            <w:pPr>
              <w:pStyle w:val="null3"/>
              <w:ind w:left="420"/>
              <w:jc w:val="both"/>
            </w:pPr>
            <w:r>
              <w:rPr>
                <w:rFonts w:ascii="仿宋_GB2312" w:hAnsi="仿宋_GB2312" w:cs="仿宋_GB2312" w:eastAsia="仿宋_GB2312"/>
                <w:sz w:val="21"/>
              </w:rPr>
              <w:t>小菜类（至少</w:t>
            </w:r>
            <w:r>
              <w:rPr>
                <w:rFonts w:ascii="仿宋_GB2312" w:hAnsi="仿宋_GB2312" w:cs="仿宋_GB2312" w:eastAsia="仿宋_GB2312"/>
                <w:sz w:val="21"/>
              </w:rPr>
              <w:t>2-3</w:t>
            </w:r>
            <w:r>
              <w:rPr>
                <w:rFonts w:ascii="仿宋_GB2312" w:hAnsi="仿宋_GB2312" w:cs="仿宋_GB2312" w:eastAsia="仿宋_GB2312"/>
                <w:sz w:val="21"/>
              </w:rPr>
              <w:t>道）</w:t>
            </w:r>
          </w:p>
          <w:p>
            <w:pPr>
              <w:pStyle w:val="null3"/>
              <w:ind w:left="420"/>
              <w:jc w:val="both"/>
            </w:pPr>
            <w:r>
              <w:rPr>
                <w:rFonts w:ascii="仿宋_GB2312" w:hAnsi="仿宋_GB2312" w:cs="仿宋_GB2312" w:eastAsia="仿宋_GB2312"/>
                <w:sz w:val="21"/>
              </w:rPr>
              <w:t>辅食类（如鸡蛋、牛奶等）</w:t>
            </w:r>
          </w:p>
          <w:p>
            <w:pPr>
              <w:pStyle w:val="null3"/>
              <w:jc w:val="both"/>
            </w:pPr>
            <w:r>
              <w:rPr>
                <w:rFonts w:ascii="仿宋_GB2312" w:hAnsi="仿宋_GB2312" w:cs="仿宋_GB2312" w:eastAsia="仿宋_GB2312"/>
                <w:sz w:val="21"/>
                <w:b/>
              </w:rPr>
              <w:t>午餐：</w:t>
            </w:r>
          </w:p>
          <w:p>
            <w:pPr>
              <w:pStyle w:val="null3"/>
              <w:ind w:left="420"/>
              <w:jc w:val="both"/>
            </w:pPr>
            <w:r>
              <w:rPr>
                <w:rFonts w:ascii="仿宋_GB2312" w:hAnsi="仿宋_GB2312" w:cs="仿宋_GB2312" w:eastAsia="仿宋_GB2312"/>
                <w:sz w:val="21"/>
              </w:rPr>
              <w:t>米饭（两荤两素一种汤类）</w:t>
            </w:r>
          </w:p>
          <w:p>
            <w:pPr>
              <w:pStyle w:val="null3"/>
              <w:ind w:left="420"/>
              <w:jc w:val="both"/>
            </w:pPr>
            <w:r>
              <w:rPr>
                <w:rFonts w:ascii="仿宋_GB2312" w:hAnsi="仿宋_GB2312" w:cs="仿宋_GB2312" w:eastAsia="仿宋_GB2312"/>
                <w:sz w:val="21"/>
              </w:rPr>
              <w:t>面条（一荤一素两种哨子）、（小菜</w:t>
            </w:r>
            <w:r>
              <w:rPr>
                <w:rFonts w:ascii="仿宋_GB2312" w:hAnsi="仿宋_GB2312" w:cs="仿宋_GB2312" w:eastAsia="仿宋_GB2312"/>
                <w:sz w:val="21"/>
              </w:rPr>
              <w:t>1-2</w:t>
            </w:r>
            <w:r>
              <w:rPr>
                <w:rFonts w:ascii="仿宋_GB2312" w:hAnsi="仿宋_GB2312" w:cs="仿宋_GB2312" w:eastAsia="仿宋_GB2312"/>
                <w:sz w:val="21"/>
              </w:rPr>
              <w:t>样）</w:t>
            </w:r>
          </w:p>
          <w:p>
            <w:pPr>
              <w:pStyle w:val="null3"/>
              <w:jc w:val="both"/>
            </w:pPr>
            <w:r>
              <w:rPr>
                <w:rFonts w:ascii="仿宋_GB2312" w:hAnsi="仿宋_GB2312" w:cs="仿宋_GB2312" w:eastAsia="仿宋_GB2312"/>
                <w:sz w:val="21"/>
                <w:b/>
              </w:rPr>
              <w:t>晚餐：</w:t>
            </w:r>
          </w:p>
          <w:p>
            <w:pPr>
              <w:pStyle w:val="null3"/>
              <w:ind w:firstLine="405"/>
              <w:jc w:val="both"/>
            </w:pPr>
            <w:r>
              <w:rPr>
                <w:rFonts w:ascii="仿宋_GB2312" w:hAnsi="仿宋_GB2312" w:cs="仿宋_GB2312" w:eastAsia="仿宋_GB2312"/>
                <w:sz w:val="21"/>
              </w:rPr>
              <w:t>主食类（提供一种，如包子、花卷、馒头、油条等）</w:t>
            </w:r>
          </w:p>
          <w:p>
            <w:pPr>
              <w:pStyle w:val="null3"/>
              <w:ind w:left="420"/>
              <w:jc w:val="both"/>
            </w:pPr>
            <w:r>
              <w:rPr>
                <w:rFonts w:ascii="仿宋_GB2312" w:hAnsi="仿宋_GB2312" w:cs="仿宋_GB2312" w:eastAsia="仿宋_GB2312"/>
                <w:sz w:val="21"/>
              </w:rPr>
              <w:t>稀饭类（提供一种，如小米粥、豆浆、八宝粥等）</w:t>
            </w:r>
          </w:p>
          <w:p>
            <w:pPr>
              <w:pStyle w:val="null3"/>
              <w:ind w:left="420"/>
              <w:jc w:val="both"/>
            </w:pPr>
            <w:r>
              <w:rPr>
                <w:rFonts w:ascii="仿宋_GB2312" w:hAnsi="仿宋_GB2312" w:cs="仿宋_GB2312" w:eastAsia="仿宋_GB2312"/>
                <w:sz w:val="21"/>
              </w:rPr>
              <w:t>热菜类（至少</w:t>
            </w:r>
            <w:r>
              <w:rPr>
                <w:rFonts w:ascii="仿宋_GB2312" w:hAnsi="仿宋_GB2312" w:cs="仿宋_GB2312" w:eastAsia="仿宋_GB2312"/>
                <w:sz w:val="21"/>
              </w:rPr>
              <w:t>1-2</w:t>
            </w:r>
            <w:r>
              <w:rPr>
                <w:rFonts w:ascii="仿宋_GB2312" w:hAnsi="仿宋_GB2312" w:cs="仿宋_GB2312" w:eastAsia="仿宋_GB2312"/>
                <w:sz w:val="21"/>
              </w:rPr>
              <w:t>道）</w:t>
            </w:r>
          </w:p>
          <w:p>
            <w:pPr>
              <w:pStyle w:val="null3"/>
              <w:ind w:left="420"/>
              <w:jc w:val="both"/>
            </w:pPr>
            <w:r>
              <w:rPr>
                <w:rFonts w:ascii="仿宋_GB2312" w:hAnsi="仿宋_GB2312" w:cs="仿宋_GB2312" w:eastAsia="仿宋_GB2312"/>
                <w:sz w:val="21"/>
              </w:rPr>
              <w:t>小菜类（至少</w:t>
            </w:r>
            <w:r>
              <w:rPr>
                <w:rFonts w:ascii="仿宋_GB2312" w:hAnsi="仿宋_GB2312" w:cs="仿宋_GB2312" w:eastAsia="仿宋_GB2312"/>
                <w:sz w:val="21"/>
              </w:rPr>
              <w:t>1-2</w:t>
            </w:r>
            <w:r>
              <w:rPr>
                <w:rFonts w:ascii="仿宋_GB2312" w:hAnsi="仿宋_GB2312" w:cs="仿宋_GB2312" w:eastAsia="仿宋_GB2312"/>
                <w:sz w:val="21"/>
              </w:rPr>
              <w:t>道）</w:t>
            </w:r>
          </w:p>
          <w:p>
            <w:pPr>
              <w:pStyle w:val="null3"/>
              <w:jc w:val="both"/>
            </w:pPr>
            <w:r>
              <w:rPr>
                <w:rFonts w:ascii="仿宋_GB2312" w:hAnsi="仿宋_GB2312" w:cs="仿宋_GB2312" w:eastAsia="仿宋_GB2312"/>
                <w:sz w:val="21"/>
              </w:rPr>
              <w:t>公务接待餐：接待人数以及用餐标准以局后勤中心通知为准。</w:t>
            </w:r>
          </w:p>
          <w:p>
            <w:pPr>
              <w:pStyle w:val="null3"/>
              <w:jc w:val="both"/>
            </w:pPr>
            <w:r>
              <w:rPr>
                <w:rFonts w:ascii="仿宋_GB2312" w:hAnsi="仿宋_GB2312" w:cs="仿宋_GB2312" w:eastAsia="仿宋_GB2312"/>
                <w:sz w:val="21"/>
                <w:b/>
              </w:rPr>
              <w:t>人员配置：</w:t>
            </w:r>
          </w:p>
          <w:p>
            <w:pPr>
              <w:pStyle w:val="null3"/>
              <w:ind w:firstLine="420"/>
              <w:jc w:val="both"/>
            </w:pPr>
            <w:r>
              <w:rPr>
                <w:rFonts w:ascii="仿宋_GB2312" w:hAnsi="仿宋_GB2312" w:cs="仿宋_GB2312" w:eastAsia="仿宋_GB2312"/>
                <w:sz w:val="21"/>
              </w:rPr>
              <w:t>食堂员工由承包方自行招聘，厨师要求具有厨师证；按规定体检，上岗前所聘任食堂服务人员必须通过卫生部门指定医院或防疫站体检，领取饮食行业健康证，无健康证合格证者，严禁使用。有公务接待或重大会议时，承包人应随时提高接待能力，满足各类就餐需要，做好服务保障工作。</w:t>
            </w:r>
          </w:p>
          <w:p>
            <w:pPr>
              <w:pStyle w:val="null3"/>
              <w:jc w:val="both"/>
            </w:pPr>
            <w:r>
              <w:rPr>
                <w:rFonts w:ascii="仿宋_GB2312" w:hAnsi="仿宋_GB2312" w:cs="仿宋_GB2312" w:eastAsia="仿宋_GB2312"/>
                <w:sz w:val="21"/>
                <w:b/>
              </w:rPr>
              <w:t>场地及设备：</w:t>
            </w:r>
          </w:p>
          <w:p>
            <w:pPr>
              <w:pStyle w:val="null3"/>
              <w:ind w:firstLine="420"/>
              <w:jc w:val="both"/>
            </w:pPr>
            <w:r>
              <w:rPr>
                <w:rFonts w:ascii="仿宋_GB2312" w:hAnsi="仿宋_GB2312" w:cs="仿宋_GB2312" w:eastAsia="仿宋_GB2312"/>
                <w:sz w:val="21"/>
              </w:rPr>
              <w:t>我单位提供工作场地、食品加工设备、餐具、水、电、天然气，承包期内厨房食品加工设备正常维修由采购人承担，因使用不当造成的损坏由承包方承担，必须添置或需采买维修更换的设备，由承包方提出申请，采购人同意后负责安排，费用由采购人承担。</w:t>
            </w:r>
          </w:p>
          <w:p>
            <w:pPr>
              <w:pStyle w:val="null3"/>
              <w:jc w:val="both"/>
            </w:pPr>
            <w:r>
              <w:rPr>
                <w:rFonts w:ascii="仿宋_GB2312" w:hAnsi="仿宋_GB2312" w:cs="仿宋_GB2312" w:eastAsia="仿宋_GB2312"/>
                <w:sz w:val="21"/>
                <w:b/>
              </w:rPr>
              <w:t>费用说明：</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、用餐需求及补助（用餐）：用餐形式为自助餐，用餐人员刷卡自付标准为，早餐每人每餐</w:t>
            </w:r>
            <w:r>
              <w:rPr>
                <w:rFonts w:ascii="仿宋_GB2312" w:hAnsi="仿宋_GB2312" w:cs="仿宋_GB2312" w:eastAsia="仿宋_GB2312"/>
                <w:sz w:val="21"/>
              </w:rPr>
              <w:t>3</w:t>
            </w:r>
            <w:r>
              <w:rPr>
                <w:rFonts w:ascii="仿宋_GB2312" w:hAnsi="仿宋_GB2312" w:cs="仿宋_GB2312" w:eastAsia="仿宋_GB2312"/>
                <w:sz w:val="21"/>
              </w:rPr>
              <w:t>元，午餐每人每餐</w:t>
            </w:r>
            <w:r>
              <w:rPr>
                <w:rFonts w:ascii="仿宋_GB2312" w:hAnsi="仿宋_GB2312" w:cs="仿宋_GB2312" w:eastAsia="仿宋_GB2312"/>
                <w:sz w:val="21"/>
              </w:rPr>
              <w:t>6</w:t>
            </w:r>
            <w:r>
              <w:rPr>
                <w:rFonts w:ascii="仿宋_GB2312" w:hAnsi="仿宋_GB2312" w:cs="仿宋_GB2312" w:eastAsia="仿宋_GB2312"/>
                <w:sz w:val="21"/>
              </w:rPr>
              <w:t>元，晚餐每人每餐</w:t>
            </w:r>
            <w:r>
              <w:rPr>
                <w:rFonts w:ascii="仿宋_GB2312" w:hAnsi="仿宋_GB2312" w:cs="仿宋_GB2312" w:eastAsia="仿宋_GB2312"/>
                <w:sz w:val="21"/>
              </w:rPr>
              <w:t>3</w:t>
            </w:r>
            <w:r>
              <w:rPr>
                <w:rFonts w:ascii="仿宋_GB2312" w:hAnsi="仿宋_GB2312" w:cs="仿宋_GB2312" w:eastAsia="仿宋_GB2312"/>
                <w:sz w:val="21"/>
              </w:rPr>
              <w:t>元。</w:t>
            </w:r>
          </w:p>
          <w:p>
            <w:pPr>
              <w:pStyle w:val="null3"/>
              <w:ind w:firstLine="420"/>
            </w:pPr>
            <w:r>
              <w:rPr>
                <w:rFonts w:ascii="仿宋_GB2312" w:hAnsi="仿宋_GB2312" w:cs="仿宋_GB2312" w:eastAsia="仿宋_GB2312"/>
                <w:sz w:val="21"/>
              </w:rPr>
              <w:t>2</w:t>
            </w:r>
            <w:r>
              <w:rPr>
                <w:rFonts w:ascii="仿宋_GB2312" w:hAnsi="仿宋_GB2312" w:cs="仿宋_GB2312" w:eastAsia="仿宋_GB2312"/>
                <w:sz w:val="21"/>
              </w:rPr>
              <w:t>、本项目实行服务费和员工工资费用包干（由承包方负责）。</w:t>
            </w:r>
          </w:p>
          <w:p>
            <w:pPr>
              <w:pStyle w:val="null3"/>
              <w:ind w:firstLine="420"/>
            </w:pPr>
            <w:r>
              <w:rPr>
                <w:rFonts w:ascii="仿宋_GB2312" w:hAnsi="仿宋_GB2312" w:cs="仿宋_GB2312" w:eastAsia="仿宋_GB2312"/>
                <w:sz w:val="21"/>
              </w:rPr>
              <w:t>3</w:t>
            </w:r>
            <w:r>
              <w:rPr>
                <w:rFonts w:ascii="仿宋_GB2312" w:hAnsi="仿宋_GB2312" w:cs="仿宋_GB2312" w:eastAsia="仿宋_GB2312"/>
                <w:sz w:val="21"/>
              </w:rPr>
              <w:t>、费用包含食物、调料等消耗品（如调料品、原材料、肉、米、面、油、蔬菜、调配料等食材）、承包方员工食宿费用、员工服装费等。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服务期限为3年，本次招标金额为一年的服务费用，具体金额以中标价为准。在服务期限内，由甲方对承包方进行管理考核。如考核不达标，或因承包方原因导致无法履约，甲方有权利随时终止合同。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铜川市耀州区财政局职工食堂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1、符合《食品安全法》及其实施条例以及餐饮业卫生规范管理要求。 2、符合采购人食堂管理规范及考核要求。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服务期第四个月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服务期第七个月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服务期第十个月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合同生效后，甲乙双方应按合同规定认真履约。合同履约责任只涉及合同甲乙双方，不考虑第三方因素。 除不可抗力原因外，如遇下列情况之一者，甲方有权扣除合同金额的5%，作为对甲方的赔偿，且甲方有权解除本合同:(1)合同签订后不能按合同时限要求完成项目内容;(2)所提供成本文件不符合要求;(3)不能按合同履约;(4)因服务质量原因，不能通过验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2025年度经审计的财务会计报告（至少包括审计报告、资产负债表和利润表，成立时间至提交响应文件截止时间不足一年的可提供成立后任意时段的资产负债表）或提交响应文件截止时间三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纳税证明或完税证明上应有代收机构或税务机关的公章或业务专用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提供具有履行合同所必需的设备和专业技术能力的书面声明。供应商需在项目电子化交易系统中按要求完成承诺函并进行电子签章。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截至响应文件递交截止时间，供应商被列入《信用中国》“严重失信主体”及“重大税收违法失信主体”名单的，被列入《中国执行信息公开网》“失信被执行人”名单的，被列入《中国政府采购网》记录的“政府采购严重违法失信行为记录名单”中的，不得参加本项目的采购活动。供应商提供参加本次政府采购活动前3年内在经营活动中没有重大违法记录，以及未被列入严重失信主体、重大税收违法失信主体、失信被执行人、政府采购严重违法失信行为记录名单的书面声明。供应商需在项目电子化交易系统中按要求完成书面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授权委托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供应商应提交的相关资格证明材料.docx 中小企业声明函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同时满足以下条款：（1）报价唯一（2）未超出采购预算或最高限价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投标文件商务要求未出现重大负偏离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服务方案全面、合理、切实可行计[14-20]分，方案较为全面、合理、切实可行计[7-14]分，方案全面、合理、但可行性差或无相关方案计[0-7]分。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食品质量保障措施</w:t>
            </w:r>
          </w:p>
        </w:tc>
        <w:tc>
          <w:tcPr>
            <w:tcW w:type="dxa" w:w="2492"/>
          </w:tcPr>
          <w:p>
            <w:pPr>
              <w:pStyle w:val="null3"/>
            </w:pPr>
            <w:r>
              <w:rPr>
                <w:rFonts w:ascii="仿宋_GB2312" w:hAnsi="仿宋_GB2312" w:cs="仿宋_GB2312" w:eastAsia="仿宋_GB2312"/>
              </w:rPr>
              <w:t>方案全面、合理、切实可行计[6-10]分，方案较为全面、合理、切实可行计[3-6]分，方案全面、合理、但可行性差或无相关方案计[0-3]分。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食品安全保障 措施</w:t>
            </w:r>
          </w:p>
        </w:tc>
        <w:tc>
          <w:tcPr>
            <w:tcW w:type="dxa" w:w="2492"/>
          </w:tcPr>
          <w:p>
            <w:pPr>
              <w:pStyle w:val="null3"/>
            </w:pPr>
            <w:r>
              <w:rPr>
                <w:rFonts w:ascii="仿宋_GB2312" w:hAnsi="仿宋_GB2312" w:cs="仿宋_GB2312" w:eastAsia="仿宋_GB2312"/>
              </w:rPr>
              <w:t>方案全面、合理、切实可行计[6-10]分，方案较为全面、合理、切实可行计[3-6]分，方案全面、合理、但可行性差或无相关方案计[0-3]分。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卫生管理控制方案（食品卫 生，人员卫生 ，环境卫生， 垃圾处理方案等）</w:t>
            </w:r>
          </w:p>
        </w:tc>
        <w:tc>
          <w:tcPr>
            <w:tcW w:type="dxa" w:w="2492"/>
          </w:tcPr>
          <w:p>
            <w:pPr>
              <w:pStyle w:val="null3"/>
            </w:pPr>
            <w:r>
              <w:rPr>
                <w:rFonts w:ascii="仿宋_GB2312" w:hAnsi="仿宋_GB2312" w:cs="仿宋_GB2312" w:eastAsia="仿宋_GB2312"/>
              </w:rPr>
              <w:t>方案全面、合理、切实可行计[6-10]分，方案较为全面、合理、切实可行计[3-6]分，方案全面、合理、但可行性差或无相关方案计[0-3]分。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方案全面、合理、切实可行计[6-8]分，方案较为全面、合理、切实可行计[3-6]分，方案全面、合理、但可行性差或无相关方案计[0-3]分。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方案全面、合理、切实可行计[4-6]分，方案较为全面、合理、切实可行计[2-4]分，方案全面、合理、但可行性差或无相关方案计[0-2]分。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规章制度</w:t>
            </w:r>
          </w:p>
        </w:tc>
        <w:tc>
          <w:tcPr>
            <w:tcW w:type="dxa" w:w="2492"/>
          </w:tcPr>
          <w:p>
            <w:pPr>
              <w:pStyle w:val="null3"/>
            </w:pPr>
            <w:r>
              <w:rPr>
                <w:rFonts w:ascii="仿宋_GB2312" w:hAnsi="仿宋_GB2312" w:cs="仿宋_GB2312" w:eastAsia="仿宋_GB2312"/>
              </w:rPr>
              <w:t>方案全面、合理、切实可行计[4-6]分，方案较为全面、合理、切实可行计[2-4]分，方案全面、合理、但可行性差或无相关方案计[0-2]分。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根据供应商配备人员的数量、相关证件等进行横向对比，项目人员完全符合本项目实施需要，保障措施合理、科学、完整、符合当前实际情况计[7-10]分；项目人员基本符合本项目实施需要，保障措施较合理、科 学性一般计 [4-7]分；项目人员安排不太符合本项目实施需要，保证措施不到位、不符合当前实际情况计[0-2]分。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提供2021年1月1日至今（以合同签订时间为准）的类似项目业绩，每提供一个有效业绩计2分，满分10分。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价格分统一采用低价优先法计算，即满足竞争性磋商文件要求且投标价格最低的投标报价为评标基准价，其价格分为满分。其他供应商的价格分统一按照下列公式计算：磋商报价得分=（磋商基准价/最终磋商报价 ）×分值。计算分数时四舍五入取小数点后两位。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