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1A21E">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Times New Roman" w:hAnsi="Times New Roman" w:eastAsia="华文中宋"/>
          <w:b w:val="0"/>
          <w:bCs/>
          <w:sz w:val="60"/>
          <w:szCs w:val="48"/>
          <w:lang w:val="en-US" w:eastAsia="zh-CN"/>
        </w:rPr>
      </w:pPr>
    </w:p>
    <w:p w14:paraId="773635A7">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Times New Roman" w:hAnsi="Times New Roman" w:eastAsia="华文中宋"/>
          <w:b w:val="0"/>
          <w:bCs/>
          <w:sz w:val="60"/>
          <w:szCs w:val="48"/>
          <w:lang w:val="en-US" w:eastAsia="zh-CN"/>
        </w:rPr>
      </w:pPr>
    </w:p>
    <w:p w14:paraId="0754A45D">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eastAsia" w:ascii="Times New Roman" w:hAnsi="Times New Roman" w:eastAsia="华文中宋"/>
          <w:b w:val="0"/>
          <w:bCs/>
          <w:sz w:val="60"/>
          <w:szCs w:val="48"/>
          <w:lang w:val="en-US" w:eastAsia="zh-CN"/>
        </w:rPr>
      </w:pPr>
    </w:p>
    <w:p w14:paraId="3835751F">
      <w:pPr>
        <w:keepNext w:val="0"/>
        <w:keepLines w:val="0"/>
        <w:pageBreakBefore w:val="0"/>
        <w:widowControl w:val="0"/>
        <w:kinsoku/>
        <w:wordWrap/>
        <w:overflowPunct/>
        <w:topLinePunct w:val="0"/>
        <w:autoSpaceDE/>
        <w:autoSpaceDN/>
        <w:bidi w:val="0"/>
        <w:adjustRightInd/>
        <w:snapToGrid/>
        <w:spacing w:line="800" w:lineRule="exact"/>
        <w:jc w:val="center"/>
        <w:textAlignment w:val="auto"/>
        <w:rPr>
          <w:rFonts w:hint="default" w:ascii="Times New Roman" w:hAnsi="Times New Roman" w:eastAsia="华文中宋"/>
          <w:b/>
          <w:sz w:val="28"/>
          <w:szCs w:val="28"/>
          <w:lang w:val="en-US" w:eastAsia="zh-CN"/>
        </w:rPr>
      </w:pPr>
      <w:r>
        <w:rPr>
          <w:rFonts w:hint="eastAsia" w:ascii="Times New Roman" w:hAnsi="Times New Roman" w:eastAsia="华文中宋"/>
          <w:b w:val="0"/>
          <w:bCs/>
          <w:sz w:val="60"/>
          <w:szCs w:val="48"/>
          <w:lang w:val="en-US" w:eastAsia="zh-CN"/>
        </w:rPr>
        <w:t>服务合同</w:t>
      </w:r>
      <w:r>
        <w:rPr>
          <w:rFonts w:ascii="Times New Roman" w:hAnsi="Times New Roman" w:eastAsia="华文中宋"/>
          <w:b/>
          <w:sz w:val="52"/>
          <w:szCs w:val="52"/>
        </w:rPr>
        <w:br w:type="textWrapping"/>
      </w:r>
      <w:r>
        <w:rPr>
          <w:rFonts w:hint="eastAsia" w:eastAsia="华文中宋"/>
          <w:b/>
          <w:sz w:val="28"/>
          <w:szCs w:val="28"/>
          <w:lang w:val="en-US" w:eastAsia="zh-CN"/>
        </w:rPr>
        <w:t>仅供参考(甲乙双方可根据项目实际需求进行增减）</w:t>
      </w:r>
    </w:p>
    <w:p w14:paraId="61167996">
      <w:pPr>
        <w:spacing w:line="440" w:lineRule="exact"/>
        <w:ind w:firstLine="480" w:firstLineChars="200"/>
        <w:rPr>
          <w:rFonts w:hint="eastAsia" w:ascii="宋体" w:hAnsi="宋体"/>
          <w:color w:val="auto"/>
          <w:kern w:val="0"/>
          <w:sz w:val="24"/>
        </w:rPr>
      </w:pPr>
    </w:p>
    <w:p w14:paraId="5648CEDE">
      <w:pPr>
        <w:ind w:left="1890" w:leftChars="900" w:right="2719" w:rightChars="1295"/>
        <w:jc w:val="distribute"/>
        <w:rPr>
          <w:rFonts w:ascii="Times New Roman" w:hAnsi="Times New Roman"/>
          <w:b/>
          <w:sz w:val="32"/>
          <w:szCs w:val="28"/>
        </w:rPr>
      </w:pPr>
    </w:p>
    <w:p w14:paraId="1B17AE9F">
      <w:pPr>
        <w:ind w:left="1890" w:leftChars="900" w:right="2719" w:rightChars="1295"/>
        <w:jc w:val="distribute"/>
        <w:rPr>
          <w:rFonts w:ascii="Times New Roman" w:hAnsi="Times New Roman"/>
          <w:b/>
          <w:sz w:val="32"/>
          <w:szCs w:val="28"/>
        </w:rPr>
      </w:pPr>
    </w:p>
    <w:p w14:paraId="6A03E199">
      <w:pPr>
        <w:ind w:left="1890" w:leftChars="900" w:right="2719" w:rightChars="1295"/>
        <w:jc w:val="distribute"/>
        <w:rPr>
          <w:rFonts w:ascii="Times New Roman" w:hAnsi="Times New Roman"/>
          <w:b/>
          <w:sz w:val="32"/>
          <w:szCs w:val="28"/>
        </w:rPr>
      </w:pPr>
    </w:p>
    <w:p w14:paraId="529ACC85">
      <w:pPr>
        <w:ind w:left="1890" w:leftChars="900" w:right="2719" w:rightChars="1295"/>
        <w:jc w:val="distribute"/>
        <w:rPr>
          <w:rFonts w:ascii="Times New Roman" w:hAnsi="Times New Roman"/>
          <w:b/>
          <w:sz w:val="32"/>
          <w:szCs w:val="28"/>
        </w:rPr>
      </w:pPr>
    </w:p>
    <w:p w14:paraId="777B50C2">
      <w:pPr>
        <w:ind w:left="1890" w:leftChars="900" w:right="2719" w:rightChars="1295"/>
        <w:jc w:val="distribute"/>
        <w:rPr>
          <w:rFonts w:ascii="Times New Roman" w:hAnsi="Times New Roman"/>
          <w:b/>
          <w:sz w:val="32"/>
          <w:szCs w:val="28"/>
        </w:rPr>
      </w:pPr>
    </w:p>
    <w:p w14:paraId="55CAC4A5">
      <w:pPr>
        <w:ind w:left="1890" w:leftChars="900" w:right="2719" w:rightChars="1295"/>
        <w:jc w:val="distribute"/>
        <w:rPr>
          <w:rFonts w:ascii="Times New Roman" w:hAnsi="Times New Roman"/>
          <w:b/>
          <w:sz w:val="32"/>
          <w:szCs w:val="28"/>
        </w:rPr>
      </w:pPr>
    </w:p>
    <w:p w14:paraId="0DDA72DF">
      <w:pPr>
        <w:ind w:left="1890" w:leftChars="900" w:right="2719" w:rightChars="1295"/>
        <w:jc w:val="distribute"/>
        <w:rPr>
          <w:rFonts w:ascii="Times New Roman" w:hAnsi="Times New Roman"/>
          <w:b/>
          <w:sz w:val="32"/>
          <w:szCs w:val="28"/>
        </w:rPr>
      </w:pPr>
    </w:p>
    <w:p w14:paraId="583CB3A1">
      <w:pPr>
        <w:ind w:left="1890" w:leftChars="900" w:right="2719" w:rightChars="1295"/>
        <w:jc w:val="distribute"/>
        <w:rPr>
          <w:rFonts w:ascii="Times New Roman" w:hAnsi="Times New Roman"/>
          <w:b/>
          <w:sz w:val="32"/>
          <w:szCs w:val="28"/>
        </w:rPr>
      </w:pPr>
    </w:p>
    <w:p w14:paraId="38C5F898">
      <w:pPr>
        <w:ind w:left="1890" w:leftChars="900" w:right="2719" w:rightChars="1295"/>
        <w:jc w:val="distribute"/>
        <w:rPr>
          <w:rFonts w:ascii="Times New Roman" w:hAnsi="Times New Roman"/>
          <w:b/>
          <w:sz w:val="32"/>
          <w:szCs w:val="28"/>
        </w:rPr>
      </w:pPr>
    </w:p>
    <w:p w14:paraId="1806A75F">
      <w:pPr>
        <w:ind w:left="1890" w:leftChars="900" w:right="2719" w:rightChars="1295"/>
        <w:jc w:val="distribute"/>
        <w:rPr>
          <w:rFonts w:ascii="Times New Roman" w:hAnsi="Times New Roman"/>
          <w:b/>
          <w:sz w:val="32"/>
          <w:szCs w:val="28"/>
        </w:rPr>
      </w:pPr>
    </w:p>
    <w:p w14:paraId="4CB7772E">
      <w:pPr>
        <w:ind w:left="1890" w:leftChars="900" w:right="2719" w:rightChars="1295"/>
        <w:jc w:val="distribute"/>
        <w:rPr>
          <w:rFonts w:ascii="Times New Roman" w:hAnsi="Times New Roman"/>
          <w:b/>
          <w:sz w:val="32"/>
          <w:szCs w:val="28"/>
        </w:rPr>
      </w:pPr>
    </w:p>
    <w:p w14:paraId="3551E3AB">
      <w:pPr>
        <w:ind w:left="1890" w:leftChars="900" w:right="2719" w:rightChars="1295"/>
        <w:jc w:val="distribute"/>
        <w:rPr>
          <w:rFonts w:ascii="Times New Roman" w:hAnsi="Times New Roman"/>
          <w:b/>
          <w:sz w:val="32"/>
          <w:szCs w:val="28"/>
        </w:rPr>
      </w:pPr>
    </w:p>
    <w:p w14:paraId="651888CF">
      <w:pPr>
        <w:ind w:left="1890" w:leftChars="900" w:right="2719" w:rightChars="1295"/>
        <w:jc w:val="distribute"/>
        <w:rPr>
          <w:rFonts w:ascii="Times New Roman" w:hAnsi="Times New Roman"/>
          <w:b/>
          <w:sz w:val="32"/>
          <w:szCs w:val="28"/>
        </w:rPr>
      </w:pPr>
    </w:p>
    <w:p w14:paraId="6F214E73">
      <w:pPr>
        <w:ind w:left="1890" w:leftChars="900" w:right="2719" w:rightChars="1295"/>
        <w:jc w:val="distribute"/>
        <w:rPr>
          <w:rFonts w:ascii="Times New Roman" w:hAnsi="Times New Roman"/>
          <w:b/>
          <w:sz w:val="32"/>
          <w:szCs w:val="28"/>
        </w:rPr>
      </w:pPr>
    </w:p>
    <w:p w14:paraId="20881705">
      <w:pPr>
        <w:ind w:left="1890" w:leftChars="900" w:right="2719" w:rightChars="1295"/>
        <w:jc w:val="distribute"/>
        <w:rPr>
          <w:rFonts w:ascii="Times New Roman" w:hAnsi="Times New Roman"/>
          <w:b/>
          <w:sz w:val="32"/>
          <w:szCs w:val="28"/>
        </w:rPr>
      </w:pPr>
    </w:p>
    <w:p w14:paraId="4C1BAE6A">
      <w:pPr>
        <w:ind w:left="1890" w:leftChars="900" w:right="2719" w:rightChars="1295"/>
        <w:jc w:val="distribute"/>
        <w:rPr>
          <w:rFonts w:ascii="Times New Roman" w:hAnsi="Times New Roman"/>
          <w:b/>
          <w:sz w:val="32"/>
          <w:szCs w:val="28"/>
        </w:rPr>
      </w:pPr>
    </w:p>
    <w:p w14:paraId="35903C76">
      <w:pPr>
        <w:ind w:left="1890" w:leftChars="900" w:right="2719" w:rightChars="1295"/>
        <w:jc w:val="distribute"/>
        <w:rPr>
          <w:rFonts w:ascii="Times New Roman" w:hAnsi="Times New Roman"/>
          <w:b/>
          <w:sz w:val="32"/>
          <w:szCs w:val="28"/>
        </w:rPr>
      </w:pPr>
    </w:p>
    <w:p w14:paraId="540255B1">
      <w:pPr>
        <w:ind w:left="1890" w:leftChars="900" w:right="2719" w:rightChars="1295"/>
        <w:jc w:val="distribute"/>
        <w:rPr>
          <w:rFonts w:ascii="Times New Roman" w:hAnsi="Times New Roman"/>
          <w:b/>
          <w:sz w:val="32"/>
          <w:szCs w:val="28"/>
        </w:rPr>
      </w:pPr>
    </w:p>
    <w:p w14:paraId="60D17692">
      <w:pPr>
        <w:pStyle w:val="3"/>
        <w:spacing w:line="262" w:lineRule="auto"/>
        <w:ind w:left="1506" w:hanging="1506" w:hangingChars="500"/>
        <w:jc w:val="both"/>
        <w:rPr>
          <w:rFonts w:hint="eastAsia" w:ascii="仿宋" w:hAnsi="仿宋" w:eastAsia="仿宋" w:cs="仿宋"/>
          <w:b/>
          <w:bCs/>
          <w:sz w:val="30"/>
          <w:szCs w:val="30"/>
          <w:u w:val="single"/>
          <w:lang w:eastAsia="zh-CN"/>
        </w:rPr>
      </w:pPr>
      <w:r>
        <w:rPr>
          <w:rFonts w:hint="eastAsia" w:ascii="仿宋" w:hAnsi="仿宋" w:eastAsia="仿宋" w:cs="仿宋"/>
          <w:b/>
          <w:bCs/>
          <w:sz w:val="30"/>
          <w:szCs w:val="30"/>
          <w:lang w:eastAsia="zh-CN"/>
        </w:rPr>
        <w:t>项目名称：</w:t>
      </w:r>
      <w:r>
        <w:rPr>
          <w:rFonts w:hint="eastAsia" w:ascii="仿宋" w:hAnsi="仿宋" w:eastAsia="仿宋" w:cs="仿宋"/>
          <w:b/>
          <w:bCs/>
          <w:sz w:val="30"/>
          <w:szCs w:val="30"/>
          <w:u w:val="single"/>
          <w:lang w:eastAsia="zh-CN"/>
        </w:rPr>
        <w:t>陕西耀州沮河国家湿地公园2025年黄河流域生态保护和高质量发展专项资金湿地保护和恢复湿地资源监测调查项目</w:t>
      </w:r>
    </w:p>
    <w:p w14:paraId="743447AC">
      <w:pPr>
        <w:pStyle w:val="3"/>
        <w:spacing w:line="262" w:lineRule="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采购人</w:t>
      </w:r>
      <w:r>
        <w:rPr>
          <w:rFonts w:hint="eastAsia" w:ascii="仿宋" w:hAnsi="仿宋" w:eastAsia="仿宋" w:cs="仿宋"/>
          <w:b/>
          <w:bCs/>
          <w:sz w:val="30"/>
          <w:szCs w:val="30"/>
          <w:lang w:eastAsia="zh-CN"/>
        </w:rPr>
        <w:t>：</w:t>
      </w:r>
      <w:r>
        <w:rPr>
          <w:rFonts w:hint="eastAsia" w:ascii="仿宋" w:hAnsi="仿宋" w:eastAsia="仿宋" w:cs="仿宋"/>
          <w:b/>
          <w:bCs/>
          <w:sz w:val="30"/>
          <w:szCs w:val="30"/>
          <w:u w:val="single"/>
          <w:lang w:eastAsia="zh-CN"/>
        </w:rPr>
        <w:t>铜川市耀州区野生动物保护管理站</w:t>
      </w:r>
    </w:p>
    <w:p w14:paraId="17C989BA">
      <w:pPr>
        <w:pStyle w:val="3"/>
        <w:spacing w:line="262" w:lineRule="auto"/>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供应商</w:t>
      </w:r>
      <w:r>
        <w:rPr>
          <w:rFonts w:hint="eastAsia" w:ascii="仿宋" w:hAnsi="仿宋" w:eastAsia="仿宋" w:cs="仿宋"/>
          <w:b/>
          <w:bCs/>
          <w:sz w:val="30"/>
          <w:szCs w:val="30"/>
          <w:lang w:eastAsia="zh-CN"/>
        </w:rPr>
        <w:t xml:space="preserve">： </w:t>
      </w:r>
      <w:r>
        <w:rPr>
          <w:rFonts w:hint="eastAsia" w:ascii="宋体" w:hAnsi="宋体"/>
          <w:b/>
          <w:color w:val="auto"/>
          <w:sz w:val="32"/>
          <w:szCs w:val="32"/>
          <w:u w:val="single"/>
        </w:rPr>
        <w:tab/>
      </w:r>
      <w:r>
        <w:rPr>
          <w:rFonts w:hint="eastAsia" w:ascii="宋体" w:hAnsi="宋体"/>
          <w:b/>
          <w:color w:val="auto"/>
          <w:sz w:val="32"/>
          <w:szCs w:val="32"/>
          <w:u w:val="single"/>
        </w:rPr>
        <w:tab/>
      </w:r>
      <w:r>
        <w:rPr>
          <w:rFonts w:hint="eastAsia" w:ascii="宋体" w:hAnsi="宋体"/>
          <w:b/>
          <w:color w:val="auto"/>
          <w:sz w:val="32"/>
          <w:szCs w:val="32"/>
          <w:u w:val="single"/>
        </w:rPr>
        <w:tab/>
      </w:r>
      <w:r>
        <w:rPr>
          <w:rFonts w:hint="eastAsia" w:ascii="宋体" w:hAnsi="宋体"/>
          <w:b/>
          <w:color w:val="auto"/>
          <w:sz w:val="32"/>
          <w:szCs w:val="32"/>
          <w:u w:val="single"/>
        </w:rPr>
        <w:tab/>
      </w:r>
      <w:r>
        <w:rPr>
          <w:rFonts w:hint="eastAsia" w:ascii="宋体" w:hAnsi="宋体"/>
          <w:b/>
          <w:color w:val="auto"/>
          <w:sz w:val="32"/>
          <w:szCs w:val="32"/>
          <w:u w:val="single"/>
        </w:rPr>
        <w:tab/>
      </w:r>
      <w:r>
        <w:rPr>
          <w:rFonts w:hint="eastAsia" w:ascii="宋体" w:hAnsi="宋体"/>
          <w:b/>
          <w:color w:val="auto"/>
          <w:sz w:val="32"/>
          <w:szCs w:val="32"/>
          <w:u w:val="single"/>
        </w:rPr>
        <w:tab/>
      </w:r>
      <w:r>
        <w:rPr>
          <w:rFonts w:hint="eastAsia" w:ascii="宋体" w:hAnsi="宋体"/>
          <w:b/>
          <w:color w:val="auto"/>
          <w:sz w:val="32"/>
          <w:szCs w:val="32"/>
          <w:u w:val="single"/>
        </w:rPr>
        <w:t xml:space="preserve">     </w:t>
      </w:r>
      <w:r>
        <w:rPr>
          <w:rFonts w:hint="eastAsia" w:ascii="宋体" w:hAnsi="宋体"/>
          <w:b/>
          <w:color w:val="auto"/>
          <w:sz w:val="32"/>
          <w:szCs w:val="32"/>
          <w:u w:val="single"/>
          <w:lang w:val="en-US" w:eastAsia="zh-CN"/>
        </w:rPr>
        <w:t xml:space="preserve">    </w:t>
      </w:r>
      <w:r>
        <w:rPr>
          <w:rFonts w:hint="eastAsia" w:ascii="宋体" w:hAnsi="宋体"/>
          <w:b/>
          <w:color w:val="auto"/>
          <w:sz w:val="32"/>
          <w:szCs w:val="32"/>
          <w:u w:val="single"/>
        </w:rPr>
        <w:t xml:space="preserve">  </w:t>
      </w:r>
      <w:r>
        <w:rPr>
          <w:rFonts w:hint="eastAsia" w:ascii="宋体" w:hAnsi="宋体"/>
          <w:b/>
          <w:color w:val="auto"/>
          <w:sz w:val="32"/>
          <w:szCs w:val="32"/>
          <w:u w:val="single"/>
        </w:rPr>
        <w:tab/>
      </w:r>
    </w:p>
    <w:p w14:paraId="25F27E3F">
      <w:pPr>
        <w:spacing w:line="440" w:lineRule="exact"/>
        <w:jc w:val="center"/>
        <w:rPr>
          <w:rFonts w:hint="eastAsia" w:ascii="宋体" w:hAnsi="宋体"/>
          <w:color w:val="auto"/>
          <w:sz w:val="24"/>
        </w:rPr>
      </w:pPr>
      <w:r>
        <w:rPr>
          <w:rFonts w:hint="eastAsia" w:ascii="宋体" w:hAnsi="宋体"/>
          <w:b/>
          <w:color w:val="auto"/>
          <w:sz w:val="32"/>
          <w:szCs w:val="32"/>
          <w:lang w:val="en-US" w:eastAsia="zh-CN"/>
        </w:rPr>
        <w:br w:type="page"/>
      </w:r>
    </w:p>
    <w:p w14:paraId="6FF34206">
      <w:pPr>
        <w:snapToGrid w:val="0"/>
        <w:spacing w:line="540" w:lineRule="exact"/>
        <w:ind w:firstLine="482" w:firstLineChars="200"/>
        <w:jc w:val="left"/>
        <w:rPr>
          <w:rFonts w:hint="eastAsia" w:ascii="宋体" w:hAnsi="宋体"/>
          <w:snapToGrid w:val="0"/>
          <w:color w:val="auto"/>
          <w:kern w:val="0"/>
          <w:sz w:val="24"/>
        </w:rPr>
      </w:pPr>
      <w:r>
        <w:rPr>
          <w:rFonts w:hint="eastAsia" w:ascii="宋体" w:hAnsi="宋体"/>
          <w:b/>
          <w:color w:val="auto"/>
          <w:sz w:val="24"/>
        </w:rPr>
        <w:t>“</w:t>
      </w:r>
      <w:r>
        <w:rPr>
          <w:rFonts w:hint="eastAsia" w:ascii="宋体" w:hAnsi="宋体"/>
          <w:b/>
          <w:color w:val="auto"/>
          <w:sz w:val="24"/>
          <w:lang w:eastAsia="zh-CN"/>
        </w:rPr>
        <w:t>陕西耀州沮河国家湿地公园2025年黄河流域生态保护和高质量发展专项资金湿地保护和恢复湿地资源监测调查项目</w:t>
      </w:r>
      <w:r>
        <w:rPr>
          <w:rFonts w:hint="eastAsia" w:ascii="宋体" w:hAnsi="宋体"/>
          <w:b/>
          <w:color w:val="auto"/>
          <w:sz w:val="24"/>
        </w:rPr>
        <w:t>”</w:t>
      </w:r>
      <w:r>
        <w:rPr>
          <w:rFonts w:hint="eastAsia" w:ascii="宋体" w:hAnsi="宋体"/>
          <w:snapToGrid w:val="0"/>
          <w:color w:val="auto"/>
          <w:kern w:val="0"/>
          <w:sz w:val="24"/>
        </w:rPr>
        <w:t>（项目编号：</w:t>
      </w:r>
      <w:r>
        <w:rPr>
          <w:rFonts w:hint="eastAsia" w:ascii="宋体" w:hAnsi="宋体"/>
          <w:snapToGrid w:val="0"/>
          <w:color w:val="auto"/>
          <w:kern w:val="0"/>
          <w:sz w:val="24"/>
          <w:lang w:eastAsia="zh-CN"/>
        </w:rPr>
        <w:t>WHYDZCD-202604-001</w:t>
      </w:r>
      <w:r>
        <w:rPr>
          <w:rFonts w:hint="eastAsia" w:ascii="宋体" w:hAnsi="宋体"/>
          <w:color w:val="auto"/>
          <w:sz w:val="24"/>
        </w:rPr>
        <w:t>）</w:t>
      </w:r>
      <w:r>
        <w:rPr>
          <w:rFonts w:hint="eastAsia" w:ascii="宋体" w:hAnsi="宋体"/>
          <w:snapToGrid w:val="0"/>
          <w:color w:val="auto"/>
          <w:kern w:val="0"/>
          <w:sz w:val="24"/>
        </w:rPr>
        <w:t>,由陕西文徽煜德项目管理有限公司组织磋商,</w:t>
      </w:r>
      <w:r>
        <w:rPr>
          <w:rFonts w:hint="eastAsia" w:ascii="宋体" w:hAnsi="宋体"/>
          <w:snapToGrid w:val="0"/>
          <w:color w:val="auto"/>
          <w:kern w:val="0"/>
          <w:sz w:val="24"/>
          <w:u w:val="single"/>
        </w:rPr>
        <w:t xml:space="preserve"> </w:t>
      </w:r>
      <w:r>
        <w:rPr>
          <w:rFonts w:hint="eastAsia" w:ascii="宋体" w:hAnsi="宋体"/>
          <w:b/>
          <w:bCs/>
          <w:snapToGrid w:val="0"/>
          <w:color w:val="auto"/>
          <w:kern w:val="0"/>
          <w:sz w:val="24"/>
          <w:u w:val="single"/>
          <w:lang w:eastAsia="zh-CN"/>
        </w:rPr>
        <w:t>铜川市耀州区野生动物保护管理站</w:t>
      </w:r>
      <w:r>
        <w:rPr>
          <w:rFonts w:hint="eastAsia" w:ascii="宋体" w:hAnsi="宋体"/>
          <w:b/>
          <w:color w:val="auto"/>
          <w:sz w:val="24"/>
          <w:u w:val="single"/>
        </w:rPr>
        <w:t xml:space="preserve"> </w:t>
      </w:r>
      <w:r>
        <w:rPr>
          <w:rFonts w:hint="eastAsia" w:ascii="宋体" w:hAnsi="宋体"/>
          <w:color w:val="auto"/>
          <w:sz w:val="24"/>
        </w:rPr>
        <w:t>(以下简称“甲方”)</w:t>
      </w:r>
      <w:r>
        <w:rPr>
          <w:rFonts w:hint="eastAsia" w:ascii="宋体" w:hAnsi="宋体"/>
          <w:snapToGrid w:val="0"/>
          <w:color w:val="auto"/>
          <w:kern w:val="0"/>
          <w:sz w:val="24"/>
        </w:rPr>
        <w:t>确定</w:t>
      </w:r>
      <w:r>
        <w:rPr>
          <w:rFonts w:hint="eastAsia" w:ascii="宋体" w:hAnsi="宋体"/>
          <w:snapToGrid w:val="0"/>
          <w:color w:val="auto"/>
          <w:kern w:val="0"/>
          <w:sz w:val="24"/>
          <w:u w:val="single"/>
        </w:rPr>
        <w:t xml:space="preserve"> </w:t>
      </w:r>
      <w:r>
        <w:rPr>
          <w:rFonts w:hint="eastAsia" w:ascii="宋体" w:hAnsi="宋体"/>
          <w:b/>
          <w:snapToGrid w:val="0"/>
          <w:color w:val="auto"/>
          <w:kern w:val="0"/>
          <w:sz w:val="24"/>
          <w:u w:val="single"/>
        </w:rPr>
        <w:t xml:space="preserve"> </w:t>
      </w:r>
      <w:r>
        <w:rPr>
          <w:rFonts w:hint="eastAsia" w:ascii="宋体" w:hAnsi="宋体" w:cs="宋体"/>
          <w:b/>
          <w:snapToGrid w:val="0"/>
          <w:color w:val="auto"/>
          <w:kern w:val="0"/>
          <w:sz w:val="24"/>
          <w:u w:val="single"/>
        </w:rPr>
        <w:t>成交单位名称</w:t>
      </w:r>
      <w:r>
        <w:rPr>
          <w:rFonts w:hint="eastAsia" w:ascii="宋体" w:hAnsi="宋体"/>
          <w:snapToGrid w:val="0"/>
          <w:color w:val="auto"/>
          <w:kern w:val="0"/>
          <w:sz w:val="24"/>
          <w:u w:val="single"/>
        </w:rPr>
        <w:t xml:space="preserve">  </w:t>
      </w:r>
      <w:r>
        <w:rPr>
          <w:rFonts w:hint="eastAsia" w:ascii="宋体" w:hAnsi="宋体"/>
          <w:snapToGrid w:val="0"/>
          <w:color w:val="auto"/>
          <w:kern w:val="0"/>
          <w:sz w:val="24"/>
        </w:rPr>
        <w:t>（以下简称“乙方”）</w:t>
      </w:r>
      <w:r>
        <w:rPr>
          <w:rFonts w:hint="eastAsia" w:ascii="宋体" w:hAnsi="宋体"/>
          <w:color w:val="auto"/>
          <w:kern w:val="0"/>
          <w:sz w:val="24"/>
        </w:rPr>
        <w:t>为</w:t>
      </w:r>
      <w:r>
        <w:rPr>
          <w:rFonts w:hint="eastAsia" w:ascii="宋体" w:hAnsi="宋体"/>
          <w:color w:val="auto"/>
          <w:kern w:val="0"/>
          <w:sz w:val="24"/>
          <w:lang w:val="en-US" w:eastAsia="zh-CN"/>
        </w:rPr>
        <w:t>服务</w:t>
      </w:r>
      <w:r>
        <w:rPr>
          <w:rFonts w:hint="eastAsia" w:ascii="宋体" w:hAnsi="宋体"/>
          <w:color w:val="auto"/>
          <w:kern w:val="0"/>
          <w:sz w:val="24"/>
        </w:rPr>
        <w:t>单位。</w:t>
      </w:r>
    </w:p>
    <w:p w14:paraId="5C9FF844">
      <w:pPr>
        <w:snapToGrid w:val="0"/>
        <w:spacing w:line="540" w:lineRule="exact"/>
        <w:ind w:firstLine="480" w:firstLineChars="200"/>
        <w:rPr>
          <w:rFonts w:hint="eastAsia" w:ascii="宋体" w:hAnsi="宋体"/>
          <w:color w:val="auto"/>
          <w:kern w:val="0"/>
          <w:sz w:val="24"/>
        </w:rPr>
      </w:pPr>
      <w:r>
        <w:rPr>
          <w:rFonts w:hint="eastAsia" w:ascii="宋体" w:hAnsi="宋体"/>
          <w:color w:val="auto"/>
          <w:kern w:val="0"/>
          <w:sz w:val="24"/>
        </w:rPr>
        <w:t>依据《中华人民共和国</w:t>
      </w:r>
      <w:r>
        <w:rPr>
          <w:rFonts w:hint="eastAsia" w:ascii="宋体" w:hAnsi="宋体"/>
          <w:color w:val="auto"/>
          <w:kern w:val="0"/>
          <w:sz w:val="24"/>
          <w:lang w:val="en-US" w:eastAsia="zh-CN"/>
        </w:rPr>
        <w:t>民</w:t>
      </w:r>
      <w:r>
        <w:rPr>
          <w:rFonts w:hint="eastAsia" w:ascii="宋体" w:hAnsi="宋体"/>
          <w:color w:val="auto"/>
          <w:kern w:val="0"/>
          <w:sz w:val="24"/>
        </w:rPr>
        <w:t>法</w:t>
      </w:r>
      <w:r>
        <w:rPr>
          <w:rFonts w:hint="eastAsia" w:ascii="宋体" w:hAnsi="宋体"/>
          <w:color w:val="auto"/>
          <w:kern w:val="0"/>
          <w:sz w:val="24"/>
          <w:lang w:val="en-US" w:eastAsia="zh-CN"/>
        </w:rPr>
        <w:t>典</w:t>
      </w:r>
      <w:r>
        <w:rPr>
          <w:rFonts w:hint="eastAsia" w:ascii="宋体" w:hAnsi="宋体"/>
          <w:color w:val="auto"/>
          <w:kern w:val="0"/>
          <w:sz w:val="24"/>
        </w:rPr>
        <w:t>》和《中华人民共和国政府采购法》，经双方协商，于</w:t>
      </w:r>
      <w:r>
        <w:rPr>
          <w:rFonts w:hint="eastAsia" w:ascii="宋体" w:hAnsi="宋体"/>
          <w:b/>
          <w:color w:val="auto"/>
          <w:kern w:val="0"/>
          <w:sz w:val="24"/>
          <w:u w:val="single"/>
        </w:rPr>
        <w:t xml:space="preserve">    </w:t>
      </w:r>
      <w:r>
        <w:rPr>
          <w:rFonts w:hint="eastAsia" w:ascii="宋体" w:hAnsi="宋体"/>
          <w:b/>
          <w:color w:val="auto"/>
          <w:kern w:val="0"/>
          <w:sz w:val="24"/>
        </w:rPr>
        <w:t>年</w:t>
      </w:r>
      <w:r>
        <w:rPr>
          <w:rFonts w:hint="eastAsia" w:ascii="宋体" w:hAnsi="宋体"/>
          <w:b/>
          <w:color w:val="auto"/>
          <w:kern w:val="0"/>
          <w:sz w:val="24"/>
          <w:u w:val="single"/>
        </w:rPr>
        <w:t xml:space="preserve">   </w:t>
      </w:r>
      <w:r>
        <w:rPr>
          <w:rFonts w:hint="eastAsia" w:ascii="宋体" w:hAnsi="宋体"/>
          <w:b/>
          <w:color w:val="auto"/>
          <w:kern w:val="0"/>
          <w:sz w:val="24"/>
        </w:rPr>
        <w:t>月</w:t>
      </w:r>
      <w:r>
        <w:rPr>
          <w:rFonts w:hint="eastAsia" w:ascii="宋体" w:hAnsi="宋体"/>
          <w:b/>
          <w:color w:val="auto"/>
          <w:kern w:val="0"/>
          <w:sz w:val="24"/>
          <w:u w:val="single"/>
        </w:rPr>
        <w:t xml:space="preserve">   </w:t>
      </w:r>
      <w:r>
        <w:rPr>
          <w:rFonts w:hint="eastAsia" w:ascii="宋体" w:hAnsi="宋体"/>
          <w:b/>
          <w:color w:val="auto"/>
          <w:kern w:val="0"/>
          <w:sz w:val="24"/>
        </w:rPr>
        <w:t>日</w:t>
      </w:r>
      <w:r>
        <w:rPr>
          <w:rFonts w:hint="eastAsia" w:ascii="宋体" w:hAnsi="宋体"/>
          <w:color w:val="auto"/>
          <w:kern w:val="0"/>
          <w:sz w:val="24"/>
        </w:rPr>
        <w:t>按下述条款和条件签署本合同。</w:t>
      </w:r>
    </w:p>
    <w:p w14:paraId="55B1570D">
      <w:pPr>
        <w:pStyle w:val="7"/>
        <w:spacing w:line="540" w:lineRule="exact"/>
        <w:ind w:firstLine="480"/>
        <w:rPr>
          <w:rFonts w:hint="eastAsia"/>
          <w:color w:val="auto"/>
        </w:rPr>
      </w:pPr>
      <w:r>
        <w:rPr>
          <w:rFonts w:hint="eastAsia"/>
          <w:b w:val="0"/>
          <w:color w:val="auto"/>
        </w:rPr>
        <w:t>甲方通过竞争性磋商方式接受了乙方以总金额</w:t>
      </w:r>
      <w:r>
        <w:rPr>
          <w:rFonts w:hint="eastAsia"/>
          <w:color w:val="auto"/>
          <w:u w:val="single"/>
        </w:rPr>
        <w:t xml:space="preserve">    </w:t>
      </w:r>
      <w:r>
        <w:rPr>
          <w:rFonts w:hint="eastAsia"/>
          <w:b w:val="0"/>
          <w:color w:val="auto"/>
          <w:u w:val="single"/>
        </w:rPr>
        <w:t xml:space="preserve">大写（￥   ）  </w:t>
      </w:r>
      <w:r>
        <w:rPr>
          <w:rFonts w:hint="eastAsia"/>
          <w:b w:val="0"/>
          <w:color w:val="auto"/>
        </w:rPr>
        <w:t>(以下简称“合同价”)提供上述服务。</w:t>
      </w:r>
    </w:p>
    <w:p w14:paraId="43F6E6CF">
      <w:pPr>
        <w:pStyle w:val="7"/>
        <w:spacing w:line="540" w:lineRule="exact"/>
        <w:ind w:firstLine="480"/>
        <w:rPr>
          <w:rFonts w:hint="eastAsia"/>
          <w:b w:val="0"/>
          <w:color w:val="auto"/>
        </w:rPr>
      </w:pPr>
      <w:r>
        <w:rPr>
          <w:rFonts w:hint="eastAsia"/>
          <w:b w:val="0"/>
          <w:color w:val="auto"/>
        </w:rPr>
        <w:t>本合同在此声明如下：</w:t>
      </w:r>
    </w:p>
    <w:p w14:paraId="2F1213D8">
      <w:pPr>
        <w:pStyle w:val="7"/>
        <w:spacing w:line="540" w:lineRule="exact"/>
        <w:ind w:firstLine="480"/>
        <w:rPr>
          <w:rFonts w:hint="eastAsia"/>
          <w:b w:val="0"/>
          <w:color w:val="auto"/>
        </w:rPr>
      </w:pPr>
      <w:r>
        <w:rPr>
          <w:rFonts w:hint="eastAsia"/>
          <w:b w:val="0"/>
          <w:color w:val="auto"/>
        </w:rPr>
        <w:t>1.本合同中的词语和术语的含义与合同条款中定义的相同。</w:t>
      </w:r>
    </w:p>
    <w:p w14:paraId="0D1FE65C">
      <w:pPr>
        <w:pStyle w:val="7"/>
        <w:spacing w:line="540" w:lineRule="exact"/>
        <w:ind w:firstLine="480"/>
        <w:rPr>
          <w:rFonts w:hint="eastAsia"/>
          <w:b w:val="0"/>
          <w:color w:val="auto"/>
        </w:rPr>
      </w:pPr>
      <w:r>
        <w:rPr>
          <w:rFonts w:hint="eastAsia"/>
          <w:b w:val="0"/>
          <w:color w:val="auto"/>
        </w:rPr>
        <w:t>2.下述文件是本合同的一部分，并与本合同一起阅读和解释：</w:t>
      </w:r>
    </w:p>
    <w:p w14:paraId="1EF0AA53">
      <w:pPr>
        <w:pStyle w:val="7"/>
        <w:spacing w:line="540" w:lineRule="exact"/>
        <w:ind w:firstLine="840" w:firstLineChars="350"/>
        <w:rPr>
          <w:rFonts w:hint="eastAsia"/>
          <w:b w:val="0"/>
          <w:color w:val="auto"/>
        </w:rPr>
      </w:pPr>
      <w:r>
        <w:rPr>
          <w:rFonts w:hint="eastAsia"/>
          <w:b w:val="0"/>
          <w:color w:val="auto"/>
        </w:rPr>
        <w:t>⑴ 合同条款；</w:t>
      </w:r>
    </w:p>
    <w:p w14:paraId="60C29A8C">
      <w:pPr>
        <w:pStyle w:val="7"/>
        <w:spacing w:line="540" w:lineRule="exact"/>
        <w:ind w:firstLine="840" w:firstLineChars="350"/>
        <w:rPr>
          <w:rFonts w:hint="eastAsia"/>
          <w:b w:val="0"/>
          <w:color w:val="auto"/>
        </w:rPr>
      </w:pPr>
      <w:r>
        <w:rPr>
          <w:rFonts w:hint="eastAsia"/>
          <w:b w:val="0"/>
          <w:color w:val="auto"/>
        </w:rPr>
        <w:t>⑵ 合同附件；</w:t>
      </w:r>
    </w:p>
    <w:p w14:paraId="3760EAF5">
      <w:pPr>
        <w:pStyle w:val="7"/>
        <w:spacing w:line="540" w:lineRule="exact"/>
        <w:ind w:firstLine="840" w:firstLineChars="350"/>
        <w:rPr>
          <w:rFonts w:hint="eastAsia"/>
          <w:b w:val="0"/>
          <w:color w:val="auto"/>
        </w:rPr>
      </w:pPr>
      <w:r>
        <w:rPr>
          <w:rFonts w:hint="eastAsia"/>
          <w:b w:val="0"/>
          <w:color w:val="auto"/>
        </w:rPr>
        <w:t>⑶ 成交通知书；</w:t>
      </w:r>
    </w:p>
    <w:p w14:paraId="3DA6E76C">
      <w:pPr>
        <w:pStyle w:val="7"/>
        <w:spacing w:line="540" w:lineRule="exact"/>
        <w:ind w:firstLine="840" w:firstLineChars="350"/>
        <w:rPr>
          <w:rFonts w:hint="eastAsia"/>
          <w:b w:val="0"/>
          <w:color w:val="auto"/>
        </w:rPr>
      </w:pPr>
      <w:r>
        <w:rPr>
          <w:rFonts w:hint="eastAsia"/>
          <w:b w:val="0"/>
          <w:color w:val="auto"/>
        </w:rPr>
        <w:t>⑷ 磋商文件；</w:t>
      </w:r>
    </w:p>
    <w:p w14:paraId="74101155">
      <w:pPr>
        <w:pStyle w:val="7"/>
        <w:spacing w:line="540" w:lineRule="exact"/>
        <w:ind w:firstLine="840" w:firstLineChars="350"/>
        <w:rPr>
          <w:rFonts w:hint="eastAsia"/>
          <w:b w:val="0"/>
          <w:color w:val="auto"/>
        </w:rPr>
      </w:pPr>
      <w:r>
        <w:rPr>
          <w:rFonts w:hint="eastAsia"/>
          <w:b w:val="0"/>
          <w:color w:val="auto"/>
        </w:rPr>
        <w:t>⑸ 磋商响应文件。</w:t>
      </w:r>
    </w:p>
    <w:p w14:paraId="36F6F640">
      <w:pPr>
        <w:pStyle w:val="7"/>
        <w:spacing w:line="540" w:lineRule="exact"/>
        <w:ind w:firstLine="480"/>
        <w:rPr>
          <w:rFonts w:hint="eastAsia"/>
          <w:b w:val="0"/>
          <w:color w:val="auto"/>
        </w:rPr>
      </w:pPr>
      <w:r>
        <w:rPr>
          <w:rFonts w:hint="eastAsia"/>
          <w:b w:val="0"/>
          <w:color w:val="auto"/>
        </w:rPr>
        <w:t>3.考虑到甲方将按照本合同向乙方支付</w:t>
      </w:r>
      <w:r>
        <w:rPr>
          <w:rFonts w:hint="eastAsia"/>
          <w:b w:val="0"/>
          <w:color w:val="auto"/>
          <w:lang w:val="en-US" w:eastAsia="zh-CN"/>
        </w:rPr>
        <w:t>服务</w:t>
      </w:r>
      <w:r>
        <w:rPr>
          <w:rFonts w:hint="eastAsia"/>
          <w:b w:val="0"/>
          <w:color w:val="auto"/>
        </w:rPr>
        <w:t>款，乙方在此保证全部按照合同的规定向甲方提供服务，并修补缺陷。</w:t>
      </w:r>
    </w:p>
    <w:p w14:paraId="43F1E477">
      <w:pPr>
        <w:spacing w:line="540" w:lineRule="exact"/>
        <w:ind w:firstLine="480" w:firstLineChars="200"/>
        <w:rPr>
          <w:rFonts w:hint="eastAsia" w:ascii="宋体" w:hAnsi="宋体"/>
          <w:color w:val="auto"/>
          <w:kern w:val="0"/>
          <w:sz w:val="24"/>
        </w:rPr>
      </w:pPr>
      <w:r>
        <w:rPr>
          <w:rFonts w:hint="eastAsia" w:ascii="宋体" w:hAnsi="宋体"/>
          <w:color w:val="auto"/>
          <w:kern w:val="0"/>
          <w:sz w:val="24"/>
        </w:rPr>
        <w:t>4.考虑到乙方将按照本合同向甲方提供服务并修补缺陷，甲方在此保证按照合同规定的时间和方式向乙方支付合同价或其他按合同规定应支付的</w:t>
      </w:r>
      <w:r>
        <w:rPr>
          <w:rFonts w:hint="eastAsia" w:ascii="宋体" w:hAnsi="宋体"/>
          <w:color w:val="auto"/>
          <w:kern w:val="0"/>
          <w:sz w:val="24"/>
          <w:lang w:val="en-US" w:eastAsia="zh-CN"/>
        </w:rPr>
        <w:t>服务</w:t>
      </w:r>
      <w:r>
        <w:rPr>
          <w:rFonts w:hint="eastAsia" w:ascii="宋体" w:hAnsi="宋体"/>
          <w:color w:val="auto"/>
          <w:kern w:val="0"/>
          <w:sz w:val="24"/>
        </w:rPr>
        <w:t>款。</w:t>
      </w:r>
    </w:p>
    <w:p w14:paraId="4D55D1A0">
      <w:pPr>
        <w:spacing w:line="540" w:lineRule="exact"/>
        <w:ind w:firstLine="480" w:firstLineChars="200"/>
        <w:rPr>
          <w:rFonts w:hint="eastAsia" w:ascii="宋体" w:hAnsi="宋体"/>
          <w:color w:val="auto"/>
          <w:kern w:val="0"/>
          <w:sz w:val="24"/>
        </w:rPr>
      </w:pPr>
      <w:r>
        <w:rPr>
          <w:rFonts w:hint="eastAsia" w:ascii="宋体" w:hAnsi="宋体"/>
          <w:color w:val="auto"/>
          <w:kern w:val="0"/>
          <w:sz w:val="24"/>
        </w:rPr>
        <w:t>5.合同主要条款由甲乙双方商议签订。</w:t>
      </w:r>
    </w:p>
    <w:p w14:paraId="65FFCB96">
      <w:pPr>
        <w:snapToGrid w:val="0"/>
        <w:spacing w:after="156" w:afterLines="50" w:line="540" w:lineRule="exact"/>
        <w:ind w:firstLine="480" w:firstLineChars="200"/>
        <w:rPr>
          <w:color w:val="auto"/>
        </w:rPr>
      </w:pPr>
      <w:r>
        <w:rPr>
          <w:rFonts w:hint="eastAsia" w:ascii="宋体" w:hAnsi="宋体"/>
          <w:color w:val="auto"/>
          <w:kern w:val="0"/>
          <w:sz w:val="24"/>
        </w:rPr>
        <w:t>6.</w:t>
      </w:r>
      <w:r>
        <w:rPr>
          <w:rFonts w:hint="eastAsia" w:ascii="新宋体" w:hAnsi="新宋体" w:eastAsia="新宋体"/>
          <w:snapToGrid w:val="0"/>
          <w:color w:val="auto"/>
          <w:kern w:val="0"/>
          <w:sz w:val="24"/>
        </w:rPr>
        <w:t>本合同一式</w:t>
      </w:r>
      <w:r>
        <w:rPr>
          <w:rFonts w:hint="eastAsia" w:ascii="新宋体" w:hAnsi="新宋体" w:eastAsia="新宋体"/>
          <w:snapToGrid w:val="0"/>
          <w:color w:val="auto"/>
          <w:kern w:val="0"/>
          <w:sz w:val="24"/>
          <w:u w:val="single"/>
        </w:rPr>
        <w:t xml:space="preserve"> </w:t>
      </w:r>
      <w:r>
        <w:rPr>
          <w:rFonts w:hint="eastAsia" w:ascii="新宋体" w:hAnsi="新宋体" w:eastAsia="新宋体"/>
          <w:snapToGrid w:val="0"/>
          <w:color w:val="auto"/>
          <w:kern w:val="0"/>
          <w:sz w:val="24"/>
          <w:u w:val="single"/>
          <w:lang w:val="en-US" w:eastAsia="zh-CN"/>
        </w:rPr>
        <w:t>伍</w:t>
      </w:r>
      <w:r>
        <w:rPr>
          <w:rFonts w:hint="eastAsia" w:ascii="新宋体" w:hAnsi="新宋体" w:eastAsia="新宋体"/>
          <w:b/>
          <w:snapToGrid w:val="0"/>
          <w:color w:val="auto"/>
          <w:kern w:val="0"/>
          <w:sz w:val="24"/>
          <w:u w:val="single"/>
        </w:rPr>
        <w:t xml:space="preserve"> </w:t>
      </w:r>
      <w:r>
        <w:rPr>
          <w:rFonts w:hint="eastAsia" w:ascii="新宋体" w:hAnsi="新宋体" w:eastAsia="新宋体"/>
          <w:snapToGrid w:val="0"/>
          <w:color w:val="auto"/>
          <w:kern w:val="0"/>
          <w:sz w:val="24"/>
        </w:rPr>
        <w:t>份，其中，甲方</w:t>
      </w:r>
      <w:r>
        <w:rPr>
          <w:rFonts w:hint="eastAsia" w:ascii="新宋体" w:hAnsi="新宋体" w:eastAsia="新宋体"/>
          <w:snapToGrid w:val="0"/>
          <w:color w:val="auto"/>
          <w:kern w:val="0"/>
          <w:sz w:val="24"/>
          <w:u w:val="single"/>
        </w:rPr>
        <w:t xml:space="preserve"> </w:t>
      </w:r>
      <w:r>
        <w:rPr>
          <w:rFonts w:hint="eastAsia" w:ascii="新宋体" w:hAnsi="新宋体" w:eastAsia="新宋体"/>
          <w:b/>
          <w:snapToGrid w:val="0"/>
          <w:color w:val="auto"/>
          <w:kern w:val="0"/>
          <w:sz w:val="24"/>
          <w:u w:val="single"/>
        </w:rPr>
        <w:t xml:space="preserve">贰 </w:t>
      </w:r>
      <w:r>
        <w:rPr>
          <w:rFonts w:hint="eastAsia" w:ascii="新宋体" w:hAnsi="新宋体" w:eastAsia="新宋体"/>
          <w:snapToGrid w:val="0"/>
          <w:color w:val="auto"/>
          <w:kern w:val="0"/>
          <w:sz w:val="24"/>
        </w:rPr>
        <w:t>份，乙方</w:t>
      </w:r>
      <w:r>
        <w:rPr>
          <w:rFonts w:hint="eastAsia" w:ascii="新宋体" w:hAnsi="新宋体" w:eastAsia="新宋体"/>
          <w:snapToGrid w:val="0"/>
          <w:color w:val="auto"/>
          <w:kern w:val="0"/>
          <w:sz w:val="24"/>
          <w:u w:val="single"/>
        </w:rPr>
        <w:t xml:space="preserve"> </w:t>
      </w:r>
      <w:r>
        <w:rPr>
          <w:rFonts w:hint="eastAsia" w:ascii="新宋体" w:hAnsi="新宋体" w:eastAsia="新宋体"/>
          <w:b/>
          <w:snapToGrid w:val="0"/>
          <w:color w:val="auto"/>
          <w:kern w:val="0"/>
          <w:sz w:val="24"/>
          <w:u w:val="single"/>
        </w:rPr>
        <w:t xml:space="preserve">贰 </w:t>
      </w:r>
      <w:r>
        <w:rPr>
          <w:rFonts w:hint="eastAsia" w:ascii="新宋体" w:hAnsi="新宋体" w:eastAsia="新宋体"/>
          <w:snapToGrid w:val="0"/>
          <w:color w:val="auto"/>
          <w:kern w:val="0"/>
          <w:sz w:val="24"/>
        </w:rPr>
        <w:t>份，</w:t>
      </w:r>
      <w:r>
        <w:rPr>
          <w:rFonts w:hint="eastAsia" w:ascii="新宋体" w:hAnsi="新宋体" w:eastAsia="新宋体"/>
          <w:snapToGrid w:val="0"/>
          <w:color w:val="auto"/>
          <w:kern w:val="0"/>
          <w:sz w:val="24"/>
          <w:lang w:val="en-US" w:eastAsia="zh-CN"/>
        </w:rPr>
        <w:t>监督部门</w:t>
      </w:r>
      <w:r>
        <w:rPr>
          <w:rFonts w:hint="eastAsia" w:ascii="新宋体" w:hAnsi="新宋体" w:eastAsia="新宋体"/>
          <w:color w:val="auto"/>
          <w:sz w:val="24"/>
          <w:u w:val="single"/>
        </w:rPr>
        <w:t xml:space="preserve"> </w:t>
      </w:r>
      <w:r>
        <w:rPr>
          <w:rFonts w:hint="eastAsia" w:ascii="新宋体" w:hAnsi="新宋体" w:eastAsia="新宋体"/>
          <w:b/>
          <w:color w:val="auto"/>
          <w:kern w:val="0"/>
          <w:sz w:val="24"/>
          <w:u w:val="single"/>
        </w:rPr>
        <w:t>壹</w:t>
      </w:r>
      <w:r>
        <w:rPr>
          <w:rFonts w:hint="eastAsia" w:ascii="新宋体" w:hAnsi="新宋体" w:eastAsia="新宋体"/>
          <w:color w:val="auto"/>
          <w:kern w:val="0"/>
          <w:sz w:val="24"/>
          <w:u w:val="single"/>
        </w:rPr>
        <w:t xml:space="preserve"> </w:t>
      </w:r>
      <w:r>
        <w:rPr>
          <w:rFonts w:hint="eastAsia" w:ascii="新宋体" w:hAnsi="新宋体" w:eastAsia="新宋体"/>
          <w:color w:val="auto"/>
          <w:kern w:val="0"/>
          <w:sz w:val="24"/>
        </w:rPr>
        <w:t>份</w:t>
      </w:r>
      <w:r>
        <w:rPr>
          <w:rFonts w:hint="eastAsia" w:ascii="新宋体" w:hAnsi="新宋体" w:eastAsia="新宋体"/>
          <w:snapToGrid w:val="0"/>
          <w:color w:val="auto"/>
          <w:kern w:val="0"/>
          <w:sz w:val="24"/>
        </w:rPr>
        <w:t>。</w:t>
      </w:r>
    </w:p>
    <w:p w14:paraId="58442EE8">
      <w:pPr>
        <w:spacing w:line="160" w:lineRule="exact"/>
        <w:rPr>
          <w:color w:val="auto"/>
        </w:rPr>
      </w:pPr>
    </w:p>
    <w:tbl>
      <w:tblPr>
        <w:tblStyle w:val="5"/>
        <w:tblW w:w="0" w:type="auto"/>
        <w:jc w:val="center"/>
        <w:tblLayout w:type="fixed"/>
        <w:tblCellMar>
          <w:top w:w="28" w:type="dxa"/>
          <w:left w:w="57" w:type="dxa"/>
          <w:bottom w:w="28" w:type="dxa"/>
          <w:right w:w="57" w:type="dxa"/>
        </w:tblCellMar>
      </w:tblPr>
      <w:tblGrid>
        <w:gridCol w:w="4196"/>
        <w:gridCol w:w="4196"/>
      </w:tblGrid>
      <w:tr w14:paraId="0D90DF5E">
        <w:tblPrEx>
          <w:tblCellMar>
            <w:top w:w="28" w:type="dxa"/>
            <w:left w:w="57" w:type="dxa"/>
            <w:bottom w:w="28" w:type="dxa"/>
            <w:right w:w="57" w:type="dxa"/>
          </w:tblCellMar>
        </w:tblPrEx>
        <w:trPr>
          <w:trHeight w:val="5373" w:hRule="atLeast"/>
          <w:jc w:val="center"/>
        </w:trPr>
        <w:tc>
          <w:tcPr>
            <w:tcW w:w="4196" w:type="dxa"/>
            <w:noWrap w:val="0"/>
            <w:tcMar>
              <w:top w:w="113" w:type="dxa"/>
              <w:left w:w="340" w:type="dxa"/>
              <w:bottom w:w="113" w:type="dxa"/>
              <w:right w:w="340" w:type="dxa"/>
            </w:tcMar>
            <w:vAlign w:val="top"/>
          </w:tcPr>
          <w:p w14:paraId="7CA4D810">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甲方名称：</w:t>
            </w:r>
          </w:p>
          <w:p w14:paraId="60DE4422">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甲方地址：</w:t>
            </w:r>
          </w:p>
          <w:p w14:paraId="6F93BE1C">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电    话：</w:t>
            </w:r>
          </w:p>
          <w:p w14:paraId="2E08B814">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传    真：</w:t>
            </w:r>
          </w:p>
          <w:p w14:paraId="5292E470">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邮    编：</w:t>
            </w:r>
          </w:p>
          <w:p w14:paraId="47DA1AEE">
            <w:pPr>
              <w:autoSpaceDE w:val="0"/>
              <w:autoSpaceDN w:val="0"/>
              <w:spacing w:line="440" w:lineRule="exact"/>
              <w:rPr>
                <w:rFonts w:hint="eastAsia" w:ascii="宋体" w:hAnsi="宋体"/>
                <w:color w:val="auto"/>
                <w:kern w:val="0"/>
                <w:sz w:val="24"/>
              </w:rPr>
            </w:pPr>
          </w:p>
          <w:p w14:paraId="66E99B69">
            <w:pPr>
              <w:autoSpaceDE w:val="0"/>
              <w:autoSpaceDN w:val="0"/>
              <w:spacing w:line="440" w:lineRule="exact"/>
              <w:rPr>
                <w:rFonts w:hint="eastAsia" w:ascii="宋体" w:hAnsi="宋体"/>
                <w:color w:val="auto"/>
                <w:kern w:val="0"/>
                <w:sz w:val="24"/>
              </w:rPr>
            </w:pPr>
          </w:p>
          <w:p w14:paraId="53EDB888">
            <w:pPr>
              <w:autoSpaceDE w:val="0"/>
              <w:autoSpaceDN w:val="0"/>
              <w:spacing w:line="440" w:lineRule="exact"/>
              <w:rPr>
                <w:rFonts w:hint="eastAsia" w:ascii="宋体" w:hAnsi="宋体"/>
                <w:color w:val="auto"/>
                <w:kern w:val="0"/>
                <w:sz w:val="24"/>
              </w:rPr>
            </w:pPr>
            <w:r>
              <w:rPr>
                <w:rFonts w:hint="eastAsia" w:ascii="宋体" w:hAnsi="宋体"/>
                <w:color w:val="auto"/>
                <w:kern w:val="0"/>
                <w:sz w:val="24"/>
              </w:rPr>
              <w:t>甲方代表签字：</w:t>
            </w:r>
          </w:p>
          <w:p w14:paraId="0E9ABC77">
            <w:pPr>
              <w:autoSpaceDE w:val="0"/>
              <w:autoSpaceDN w:val="0"/>
              <w:spacing w:line="440" w:lineRule="exact"/>
              <w:rPr>
                <w:rFonts w:hint="eastAsia" w:ascii="宋体" w:hAnsi="宋体"/>
                <w:color w:val="auto"/>
                <w:kern w:val="0"/>
                <w:sz w:val="24"/>
              </w:rPr>
            </w:pPr>
          </w:p>
          <w:p w14:paraId="0F2F737E">
            <w:pPr>
              <w:spacing w:line="440" w:lineRule="exact"/>
              <w:rPr>
                <w:rFonts w:hint="eastAsia" w:ascii="宋体" w:hAnsi="宋体"/>
                <w:color w:val="auto"/>
                <w:kern w:val="0"/>
                <w:sz w:val="24"/>
              </w:rPr>
            </w:pPr>
            <w:r>
              <w:rPr>
                <w:rFonts w:hint="eastAsia" w:ascii="宋体" w:hAnsi="宋体"/>
                <w:color w:val="auto"/>
                <w:spacing w:val="7"/>
                <w:kern w:val="0"/>
                <w:sz w:val="24"/>
                <w:lang w:val="en-US" w:eastAsia="zh-CN"/>
              </w:rPr>
              <w:t>甲</w:t>
            </w:r>
            <w:r>
              <w:rPr>
                <w:rFonts w:hint="eastAsia" w:ascii="宋体" w:hAnsi="宋体"/>
                <w:color w:val="auto"/>
                <w:spacing w:val="7"/>
                <w:kern w:val="0"/>
                <w:sz w:val="24"/>
              </w:rPr>
              <w:t xml:space="preserve"> 方 盖 章</w:t>
            </w:r>
            <w:r>
              <w:rPr>
                <w:rFonts w:hint="eastAsia" w:ascii="宋体" w:hAnsi="宋体"/>
                <w:color w:val="auto"/>
                <w:kern w:val="0"/>
                <w:sz w:val="24"/>
              </w:rPr>
              <w:t>：</w:t>
            </w:r>
          </w:p>
        </w:tc>
        <w:tc>
          <w:tcPr>
            <w:tcW w:w="4196" w:type="dxa"/>
            <w:noWrap w:val="0"/>
            <w:vAlign w:val="top"/>
          </w:tcPr>
          <w:p w14:paraId="7462311D">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乙方名称：</w:t>
            </w:r>
          </w:p>
          <w:p w14:paraId="516E5AAF">
            <w:pPr>
              <w:autoSpaceDE w:val="0"/>
              <w:autoSpaceDN w:val="0"/>
              <w:spacing w:line="440" w:lineRule="exact"/>
              <w:ind w:firstLine="240" w:firstLineChars="100"/>
              <w:rPr>
                <w:rFonts w:hint="eastAsia"/>
                <w:color w:val="auto"/>
                <w:kern w:val="0"/>
                <w:sz w:val="24"/>
              </w:rPr>
            </w:pPr>
            <w:r>
              <w:rPr>
                <w:rFonts w:hint="eastAsia" w:ascii="宋体" w:hAnsi="宋体"/>
                <w:color w:val="auto"/>
                <w:kern w:val="0"/>
                <w:sz w:val="24"/>
              </w:rPr>
              <w:t>乙方地址：</w:t>
            </w:r>
          </w:p>
          <w:p w14:paraId="4E040A4E">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电    话：</w:t>
            </w:r>
          </w:p>
          <w:p w14:paraId="5F47AFB4">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传    真：</w:t>
            </w:r>
          </w:p>
          <w:p w14:paraId="6F17E570">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邮    编：</w:t>
            </w:r>
          </w:p>
          <w:p w14:paraId="44A42CA2">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开户银行：</w:t>
            </w:r>
          </w:p>
          <w:p w14:paraId="31330E24">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帐    号：</w:t>
            </w:r>
          </w:p>
          <w:p w14:paraId="4CF53A21">
            <w:pPr>
              <w:autoSpaceDE w:val="0"/>
              <w:autoSpaceDN w:val="0"/>
              <w:spacing w:line="440" w:lineRule="exact"/>
              <w:ind w:firstLine="240" w:firstLineChars="100"/>
              <w:rPr>
                <w:rFonts w:hint="eastAsia" w:ascii="宋体" w:hAnsi="宋体"/>
                <w:color w:val="auto"/>
                <w:kern w:val="0"/>
                <w:sz w:val="24"/>
              </w:rPr>
            </w:pPr>
            <w:r>
              <w:rPr>
                <w:rFonts w:hint="eastAsia" w:ascii="宋体" w:hAnsi="宋体"/>
                <w:color w:val="auto"/>
                <w:kern w:val="0"/>
                <w:sz w:val="24"/>
              </w:rPr>
              <w:t>乙方代表签字：</w:t>
            </w:r>
          </w:p>
          <w:p w14:paraId="51474DB7">
            <w:pPr>
              <w:autoSpaceDE w:val="0"/>
              <w:autoSpaceDN w:val="0"/>
              <w:spacing w:line="440" w:lineRule="exact"/>
              <w:ind w:firstLine="240" w:firstLineChars="100"/>
              <w:rPr>
                <w:rFonts w:hint="eastAsia" w:ascii="宋体" w:hAnsi="宋体"/>
                <w:color w:val="auto"/>
                <w:kern w:val="0"/>
                <w:sz w:val="24"/>
              </w:rPr>
            </w:pPr>
          </w:p>
          <w:p w14:paraId="0005C3D9">
            <w:pPr>
              <w:spacing w:line="440" w:lineRule="exact"/>
              <w:ind w:firstLine="254" w:firstLineChars="100"/>
              <w:rPr>
                <w:rFonts w:hint="eastAsia"/>
                <w:b/>
                <w:color w:val="auto"/>
                <w:sz w:val="24"/>
              </w:rPr>
            </w:pPr>
            <w:r>
              <w:rPr>
                <w:rFonts w:hint="eastAsia" w:ascii="宋体" w:hAnsi="宋体"/>
                <w:color w:val="auto"/>
                <w:spacing w:val="7"/>
                <w:kern w:val="0"/>
                <w:sz w:val="24"/>
                <w:lang w:val="en-US" w:eastAsia="zh-CN"/>
              </w:rPr>
              <w:t>乙</w:t>
            </w:r>
            <w:r>
              <w:rPr>
                <w:rFonts w:hint="eastAsia" w:ascii="宋体" w:hAnsi="宋体"/>
                <w:color w:val="auto"/>
                <w:spacing w:val="7"/>
                <w:kern w:val="0"/>
                <w:sz w:val="24"/>
              </w:rPr>
              <w:t xml:space="preserve"> 方 盖 章</w:t>
            </w:r>
            <w:r>
              <w:rPr>
                <w:rFonts w:hint="eastAsia" w:ascii="宋体" w:hAnsi="宋体"/>
                <w:color w:val="auto"/>
                <w:kern w:val="0"/>
                <w:sz w:val="24"/>
              </w:rPr>
              <w:t>：</w:t>
            </w:r>
          </w:p>
        </w:tc>
      </w:tr>
    </w:tbl>
    <w:p w14:paraId="31AA032D">
      <w:pPr>
        <w:spacing w:before="156" w:beforeLines="50" w:after="156" w:afterLines="50" w:line="240" w:lineRule="auto"/>
        <w:jc w:val="both"/>
        <w:outlineLvl w:val="0"/>
        <w:rPr>
          <w:rFonts w:hint="eastAsia" w:ascii="宋体" w:hAnsi="宋体" w:eastAsia="宋体" w:cs="Times New Roman"/>
          <w:b/>
          <w:bCs/>
          <w:color w:val="auto"/>
          <w:sz w:val="24"/>
          <w:lang w:val="en-US" w:eastAsia="zh-CN"/>
        </w:rPr>
      </w:pPr>
      <w:r>
        <w:rPr>
          <w:rFonts w:hint="eastAsia" w:ascii="宋体" w:hAnsi="宋体" w:eastAsia="宋体" w:cs="Times New Roman"/>
          <w:b/>
          <w:bCs/>
          <w:color w:val="auto"/>
          <w:sz w:val="24"/>
          <w:lang w:val="en-US" w:eastAsia="zh-CN"/>
        </w:rPr>
        <w:t xml:space="preserve">                         </w:t>
      </w:r>
    </w:p>
    <w:p w14:paraId="5E8E363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cs="宋体"/>
          <w:b/>
          <w:bCs/>
          <w:color w:val="auto"/>
          <w:sz w:val="24"/>
          <w:lang w:val="en-US"/>
        </w:rPr>
      </w:pPr>
      <w:r>
        <w:rPr>
          <w:rFonts w:hint="eastAsia" w:ascii="宋体" w:hAnsi="宋体" w:eastAsia="宋体" w:cs="Times New Roman"/>
          <w:b/>
          <w:bCs/>
          <w:color w:val="auto"/>
          <w:sz w:val="24"/>
          <w:lang w:val="en-US" w:eastAsia="zh-CN"/>
        </w:rPr>
        <w:t xml:space="preserve">第一条 </w:t>
      </w:r>
      <w:r>
        <w:rPr>
          <w:rFonts w:hint="eastAsia" w:ascii="宋体" w:hAnsi="宋体" w:cs="宋体"/>
          <w:b/>
          <w:bCs/>
          <w:color w:val="auto"/>
          <w:sz w:val="24"/>
          <w:lang w:val="en-US" w:eastAsia="zh-CN"/>
        </w:rPr>
        <w:t>项目质量及期限</w:t>
      </w:r>
    </w:p>
    <w:p w14:paraId="573AD207">
      <w:pPr>
        <w:spacing w:before="78" w:beforeLines="25" w:line="440" w:lineRule="exact"/>
        <w:ind w:firstLine="480" w:firstLineChars="200"/>
        <w:rPr>
          <w:rFonts w:hint="eastAsia" w:ascii="宋体" w:hAnsi="宋体"/>
          <w:snapToGrid w:val="0"/>
          <w:color w:val="auto"/>
          <w:sz w:val="24"/>
          <w:lang w:val="en-US" w:eastAsia="zh-CN"/>
        </w:rPr>
      </w:pPr>
      <w:r>
        <w:rPr>
          <w:rFonts w:hint="eastAsia" w:ascii="宋体" w:hAnsi="宋体"/>
          <w:snapToGrid w:val="0"/>
          <w:color w:val="auto"/>
          <w:sz w:val="24"/>
        </w:rPr>
        <w:t>项目的质量要求：</w:t>
      </w:r>
      <w:r>
        <w:rPr>
          <w:rFonts w:hint="eastAsia" w:ascii="宋体" w:hAnsi="宋体"/>
          <w:snapToGrid w:val="0"/>
          <w:color w:val="auto"/>
          <w:sz w:val="24"/>
          <w:lang w:val="en-US" w:eastAsia="zh-CN"/>
        </w:rPr>
        <w:t>符合国家有关规范和执行标准。</w:t>
      </w:r>
    </w:p>
    <w:p w14:paraId="1DC9C802">
      <w:pPr>
        <w:spacing w:before="78" w:beforeLines="25" w:line="440" w:lineRule="exact"/>
        <w:ind w:firstLine="480" w:firstLineChars="200"/>
        <w:rPr>
          <w:rFonts w:hint="eastAsia" w:ascii="宋体" w:hAnsi="宋体"/>
          <w:b w:val="0"/>
          <w:bCs/>
          <w:color w:val="auto"/>
          <w:sz w:val="24"/>
          <w:highlight w:val="none"/>
        </w:rPr>
      </w:pPr>
      <w:r>
        <w:rPr>
          <w:rFonts w:hint="eastAsia" w:ascii="宋体" w:hAnsi="宋体"/>
          <w:b w:val="0"/>
          <w:bCs/>
          <w:color w:val="auto"/>
          <w:sz w:val="24"/>
          <w:highlight w:val="none"/>
          <w:lang w:val="en-US" w:eastAsia="zh-CN"/>
        </w:rPr>
        <w:t>服务期限：合同签订之日起</w:t>
      </w:r>
      <w:r>
        <w:rPr>
          <w:rFonts w:hint="eastAsia" w:ascii="宋体" w:hAnsi="宋体"/>
          <w:b/>
          <w:bCs w:val="0"/>
          <w:color w:val="auto"/>
          <w:sz w:val="24"/>
          <w:highlight w:val="none"/>
          <w:lang w:val="en-US" w:eastAsia="zh-CN"/>
        </w:rPr>
        <w:t>7</w:t>
      </w:r>
      <w:r>
        <w:rPr>
          <w:rFonts w:hint="eastAsia" w:ascii="宋体" w:hAnsi="宋体"/>
          <w:b w:val="0"/>
          <w:bCs/>
          <w:color w:val="auto"/>
          <w:sz w:val="24"/>
          <w:highlight w:val="none"/>
          <w:lang w:val="en-US" w:eastAsia="zh-CN"/>
        </w:rPr>
        <w:t>个月完成</w:t>
      </w:r>
      <w:r>
        <w:rPr>
          <w:rFonts w:hint="eastAsia" w:ascii="宋体" w:hAnsi="宋体"/>
          <w:b w:val="0"/>
          <w:bCs/>
          <w:color w:val="auto"/>
          <w:sz w:val="24"/>
          <w:highlight w:val="none"/>
        </w:rPr>
        <w:t>（</w:t>
      </w:r>
      <w:r>
        <w:rPr>
          <w:rFonts w:hint="eastAsia" w:ascii="宋体" w:hAnsi="宋体"/>
          <w:b w:val="0"/>
          <w:bCs/>
          <w:color w:val="auto"/>
          <w:sz w:val="24"/>
          <w:highlight w:val="none"/>
          <w:lang w:val="en-US" w:eastAsia="zh-CN"/>
        </w:rPr>
        <w:t>最晚不迟于2026年12月30日</w:t>
      </w:r>
      <w:r>
        <w:rPr>
          <w:rFonts w:hint="eastAsia" w:ascii="宋体" w:hAnsi="宋体"/>
          <w:b w:val="0"/>
          <w:bCs/>
          <w:color w:val="auto"/>
          <w:sz w:val="24"/>
          <w:highlight w:val="none"/>
        </w:rPr>
        <w:t>）。</w:t>
      </w:r>
    </w:p>
    <w:p w14:paraId="01DF844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default"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第二条 服务内容</w:t>
      </w:r>
      <w:r>
        <w:rPr>
          <w:rFonts w:hint="eastAsia" w:ascii="宋体" w:hAnsi="宋体" w:cs="宋体"/>
          <w:b/>
          <w:bCs/>
          <w:color w:val="auto"/>
          <w:sz w:val="24"/>
          <w:lang w:val="en-US" w:eastAsia="zh-CN"/>
        </w:rPr>
        <w:t>及要求</w:t>
      </w:r>
    </w:p>
    <w:p w14:paraId="522D2867">
      <w:pPr>
        <w:spacing w:before="78" w:beforeLines="25" w:line="440" w:lineRule="exact"/>
        <w:ind w:firstLine="480" w:firstLineChars="200"/>
        <w:rPr>
          <w:rFonts w:hint="eastAsia" w:ascii="宋体" w:hAnsi="宋体"/>
          <w:snapToGrid w:val="0"/>
          <w:color w:val="auto"/>
          <w:sz w:val="24"/>
          <w:lang w:val="en-US" w:eastAsia="zh-CN"/>
        </w:rPr>
      </w:pPr>
      <w:r>
        <w:rPr>
          <w:rFonts w:hint="eastAsia" w:ascii="宋体" w:hAnsi="宋体"/>
          <w:snapToGrid w:val="0"/>
          <w:color w:val="auto"/>
          <w:sz w:val="24"/>
          <w:lang w:val="en-US" w:eastAsia="zh-CN"/>
        </w:rPr>
        <w:t xml:space="preserve">要求：覆盖整个沮河湿地公园及周边相关区域，确保调查的全面性与代表性。 </w:t>
      </w:r>
    </w:p>
    <w:p w14:paraId="4E61962A">
      <w:pPr>
        <w:spacing w:before="78" w:beforeLines="25" w:line="440" w:lineRule="exact"/>
        <w:ind w:firstLine="480" w:firstLineChars="200"/>
        <w:rPr>
          <w:rFonts w:hint="eastAsia" w:ascii="宋体" w:hAnsi="宋体"/>
          <w:snapToGrid w:val="0"/>
          <w:color w:val="auto"/>
          <w:sz w:val="24"/>
          <w:lang w:val="en-US" w:eastAsia="zh-CN"/>
        </w:rPr>
      </w:pPr>
      <w:r>
        <w:rPr>
          <w:rFonts w:hint="eastAsia" w:ascii="宋体" w:hAnsi="宋体"/>
          <w:snapToGrid w:val="0"/>
          <w:color w:val="auto"/>
          <w:sz w:val="24"/>
          <w:lang w:val="en-US" w:eastAsia="zh-CN"/>
        </w:rPr>
        <w:t>主要内容：开展耀州沮河国家湿地公园及其周边野生动植物资源调查与评估，对湿地地形、气候、土壤、面积分布状况、平均海拔、所属流域、水源补给状况、植物群落和植被、湿地保护和管理状况、经济社会状况和受威胁状态开展监测调查，编制科研报告1份。</w:t>
      </w:r>
    </w:p>
    <w:p w14:paraId="47616CEF">
      <w:pPr>
        <w:spacing w:before="78" w:beforeLines="25" w:line="440" w:lineRule="exact"/>
        <w:ind w:firstLine="480" w:firstLineChars="200"/>
        <w:rPr>
          <w:rFonts w:hint="eastAsia" w:ascii="宋体" w:hAnsi="宋体"/>
          <w:snapToGrid w:val="0"/>
          <w:color w:val="auto"/>
          <w:sz w:val="24"/>
          <w:lang w:val="en-US" w:eastAsia="zh-CN"/>
        </w:rPr>
      </w:pPr>
      <w:r>
        <w:rPr>
          <w:rFonts w:hint="eastAsia" w:ascii="宋体" w:hAnsi="宋体"/>
          <w:snapToGrid w:val="0"/>
          <w:color w:val="auto"/>
          <w:sz w:val="24"/>
          <w:lang w:val="en-US" w:eastAsia="zh-CN"/>
        </w:rPr>
        <w:t>调查方法</w:t>
      </w:r>
    </w:p>
    <w:p w14:paraId="6648FD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通过历史资料和访问调查、人工样线调查、</w:t>
      </w:r>
      <w:r>
        <w:rPr>
          <w:rFonts w:hint="eastAsia" w:ascii="宋体" w:hAnsi="宋体" w:cs="宋体"/>
          <w:b w:val="0"/>
          <w:bCs w:val="0"/>
          <w:color w:val="auto"/>
          <w:sz w:val="24"/>
          <w:lang w:val="en-US" w:eastAsia="zh-CN"/>
        </w:rPr>
        <w:t>红外相机监测法、</w:t>
      </w:r>
      <w:r>
        <w:rPr>
          <w:rFonts w:hint="eastAsia" w:ascii="宋体" w:hAnsi="宋体" w:eastAsia="宋体" w:cs="宋体"/>
          <w:b w:val="0"/>
          <w:bCs w:val="0"/>
          <w:color w:val="auto"/>
          <w:sz w:val="24"/>
          <w:lang w:val="en-US" w:eastAsia="zh-CN"/>
        </w:rPr>
        <w:t>野外实地踏查</w:t>
      </w:r>
      <w:r>
        <w:rPr>
          <w:rFonts w:hint="eastAsia" w:ascii="宋体" w:hAnsi="宋体" w:cs="宋体"/>
          <w:b w:val="0"/>
          <w:bCs w:val="0"/>
          <w:color w:val="auto"/>
          <w:sz w:val="24"/>
          <w:lang w:val="en-US" w:eastAsia="zh-CN"/>
        </w:rPr>
        <w:t>等</w:t>
      </w:r>
      <w:r>
        <w:rPr>
          <w:rFonts w:hint="eastAsia" w:ascii="宋体" w:hAnsi="宋体" w:eastAsia="宋体" w:cs="宋体"/>
          <w:b w:val="0"/>
          <w:bCs w:val="0"/>
          <w:color w:val="auto"/>
          <w:sz w:val="24"/>
          <w:lang w:val="en-US" w:eastAsia="zh-CN"/>
        </w:rPr>
        <w:t>几种方法结合完成此次调查研究。</w:t>
      </w:r>
    </w:p>
    <w:p w14:paraId="2C9FD57D">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核心目标：</w:t>
      </w:r>
    </w:p>
    <w:p w14:paraId="21ED8DBA">
      <w:pPr>
        <w:pStyle w:val="2"/>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1.对公园及周边区域野生动植物资源开展全面、精准的</w:t>
      </w:r>
      <w:r>
        <w:rPr>
          <w:rFonts w:hint="eastAsia" w:ascii="宋体" w:hAnsi="宋体" w:cs="宋体"/>
          <w:b w:val="0"/>
          <w:bCs w:val="0"/>
          <w:color w:val="auto"/>
          <w:kern w:val="2"/>
          <w:sz w:val="24"/>
          <w:szCs w:val="24"/>
          <w:lang w:val="en-US" w:eastAsia="zh-CN" w:bidi="ar-SA"/>
        </w:rPr>
        <w:t>调</w:t>
      </w:r>
      <w:r>
        <w:rPr>
          <w:rFonts w:hint="eastAsia" w:ascii="宋体" w:hAnsi="宋体" w:eastAsia="宋体" w:cs="宋体"/>
          <w:b w:val="0"/>
          <w:bCs w:val="0"/>
          <w:color w:val="auto"/>
          <w:kern w:val="2"/>
          <w:sz w:val="24"/>
          <w:szCs w:val="24"/>
          <w:lang w:val="en-US" w:eastAsia="zh-CN" w:bidi="ar-SA"/>
        </w:rPr>
        <w:t>查与评估，查明物种种类、种群规模、空间分布格局、群落结构、生境状况及珍稀物种分布点位。</w:t>
      </w:r>
    </w:p>
    <w:p w14:paraId="716F5B6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 xml:space="preserve">   2、构建湿地资源动态监测数据库，精准识别生态系统长期变化，为制定针对性保护与恢复措施提供科学数据支撑。</w:t>
      </w:r>
    </w:p>
    <w:p w14:paraId="127BE4FC">
      <w:pPr>
        <w:pStyle w:val="2"/>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3、为湿地公园后续保护、建设、管理、科研提供完整科学资料，有效保护朱鹮等国家重点野生动植物资源及其栖息地，打造野生动物理想栖息繁衍场所。</w:t>
      </w:r>
    </w:p>
    <w:p w14:paraId="5F4C408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第五条、调查成果文件：</w:t>
      </w:r>
    </w:p>
    <w:p w14:paraId="3299FCB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3" w:leftChars="0" w:right="0" w:rightChars="0" w:firstLine="960" w:firstLineChars="40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1、沮河湿地公园湿地资源本底调查报告（含野生动物、野生植物专项报告）；</w:t>
      </w:r>
    </w:p>
    <w:p w14:paraId="06E3C20A">
      <w:pPr>
        <w:keepNext w:val="0"/>
        <w:keepLines w:val="0"/>
        <w:pageBreakBefore w:val="0"/>
        <w:widowControl w:val="0"/>
        <w:kinsoku/>
        <w:wordWrap/>
        <w:overflowPunct/>
        <w:topLinePunct w:val="0"/>
        <w:autoSpaceDE/>
        <w:autoSpaceDN/>
        <w:bidi w:val="0"/>
        <w:adjustRightInd/>
        <w:snapToGrid/>
        <w:spacing w:line="480" w:lineRule="exact"/>
        <w:ind w:firstLine="720" w:firstLineChars="300"/>
        <w:textAlignment w:val="auto"/>
        <w:rPr>
          <w:rFonts w:hint="eastAsia" w:ascii="宋体" w:hAnsi="宋体" w:eastAsia="宋体" w:cs="宋体"/>
          <w:color w:val="auto"/>
          <w:sz w:val="24"/>
          <w:highlight w:val="none"/>
          <w:lang w:val="en-US" w:eastAsia="zh-CN"/>
        </w:rPr>
      </w:pPr>
      <w:r>
        <w:rPr>
          <w:rFonts w:hint="eastAsia" w:ascii="宋体" w:hAnsi="宋体" w:eastAsia="宋体" w:cs="宋体"/>
          <w:b w:val="0"/>
          <w:bCs w:val="0"/>
          <w:color w:val="auto"/>
          <w:kern w:val="2"/>
          <w:sz w:val="24"/>
          <w:szCs w:val="24"/>
          <w:lang w:val="en-US" w:eastAsia="zh-CN" w:bidi="ar-SA"/>
        </w:rPr>
        <w:t>2、湿地资源动态监测数据库（</w:t>
      </w:r>
      <w:r>
        <w:rPr>
          <w:rFonts w:hint="eastAsia" w:ascii="宋体" w:hAnsi="宋体" w:eastAsia="宋体" w:cs="宋体"/>
          <w:color w:val="auto"/>
          <w:sz w:val="24"/>
          <w:highlight w:val="none"/>
          <w:lang w:val="en-US" w:eastAsia="zh-CN"/>
        </w:rPr>
        <w:t>包括纸质记录表格、APP导出的shp矢量数据和影像资料等</w:t>
      </w:r>
      <w:r>
        <w:rPr>
          <w:rFonts w:hint="eastAsia" w:ascii="宋体" w:hAnsi="宋体" w:eastAsia="宋体" w:cs="宋体"/>
          <w:b w:val="0"/>
          <w:bCs w:val="0"/>
          <w:color w:val="auto"/>
          <w:kern w:val="2"/>
          <w:sz w:val="24"/>
          <w:szCs w:val="24"/>
          <w:lang w:val="en-US" w:eastAsia="zh-CN" w:bidi="ar-SA"/>
        </w:rPr>
        <w:t>）</w:t>
      </w:r>
      <w:r>
        <w:rPr>
          <w:rFonts w:hint="eastAsia" w:ascii="宋体" w:hAnsi="宋体" w:eastAsia="宋体" w:cs="宋体"/>
          <w:color w:val="auto"/>
          <w:sz w:val="24"/>
          <w:highlight w:val="none"/>
          <w:lang w:val="en-US" w:eastAsia="zh-CN"/>
        </w:rPr>
        <w:t>；</w:t>
      </w:r>
    </w:p>
    <w:p w14:paraId="3CDD81E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3" w:leftChars="0" w:right="0" w:rightChars="0" w:firstLine="960" w:firstLineChars="40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3、野生动植物物种名录、分布图谱、种群评估报告；</w:t>
      </w:r>
    </w:p>
    <w:p w14:paraId="3C6412E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363" w:leftChars="0" w:right="0" w:rightChars="0" w:firstLine="960" w:firstLineChars="40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4、湿地保护与恢复优化方案建议。</w:t>
      </w:r>
    </w:p>
    <w:p w14:paraId="2CBE392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第六条 其他事项</w:t>
      </w:r>
    </w:p>
    <w:p w14:paraId="35C9893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后续服务: 本项目所需的所有费用均包含在总报价中；</w:t>
      </w:r>
    </w:p>
    <w:p w14:paraId="3FCEAF7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进度要求: 按照采购人进度要求完成；</w:t>
      </w:r>
    </w:p>
    <w:p w14:paraId="354A63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cs="宋体"/>
          <w:color w:val="auto"/>
          <w:sz w:val="24"/>
          <w:lang w:val="en-US" w:eastAsia="zh-CN"/>
        </w:rPr>
        <w:t>3、</w:t>
      </w:r>
      <w:r>
        <w:rPr>
          <w:rFonts w:hint="eastAsia" w:ascii="宋体" w:hAnsi="宋体" w:eastAsia="宋体" w:cs="宋体"/>
          <w:color w:val="auto"/>
          <w:sz w:val="24"/>
          <w:lang w:val="en-US" w:eastAsia="zh-CN"/>
        </w:rPr>
        <w:t>成果交付要求: 需达到采购人对项目的具体要求；</w:t>
      </w:r>
    </w:p>
    <w:p w14:paraId="603CCE0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所提供项目调查成果资料必须满足采购人要求且能够通过专家评审；</w:t>
      </w:r>
    </w:p>
    <w:p w14:paraId="7120B31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lang w:val="en-US" w:eastAsia="zh-CN"/>
        </w:rPr>
      </w:pPr>
      <w:r>
        <w:rPr>
          <w:rFonts w:hint="eastAsia" w:ascii="宋体" w:hAnsi="宋体" w:cs="宋体"/>
          <w:color w:val="auto"/>
          <w:sz w:val="24"/>
          <w:lang w:val="en-US" w:eastAsia="zh-CN"/>
        </w:rPr>
        <w:t>5、</w:t>
      </w:r>
      <w:r>
        <w:rPr>
          <w:rFonts w:hint="eastAsia" w:ascii="宋体" w:hAnsi="宋体" w:eastAsia="宋体" w:cs="宋体"/>
          <w:color w:val="auto"/>
          <w:sz w:val="24"/>
          <w:lang w:val="en-US" w:eastAsia="zh-CN"/>
        </w:rPr>
        <w:t>最终验收: 自合同签订之日起至完成全部项目内容，需按照采购人确定的时间完成交付并验收合格，验收合格后，填写验收单。</w:t>
      </w:r>
    </w:p>
    <w:p w14:paraId="59FC914B">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6、质量保修范围和保修期：质量保修范围：乙方交付的全部湿地调查成果（含技术报告、数据库、图件、过程资料等），涵盖成果数据准确性、技术合规性、逻辑完整性等全维度质量问题。 保修期：自项目最终验收合格之日起12个月。保修期内，乙方需免费对成果存在的错误、遗漏进行修正，配合甲方完成成果应用、数据更新等相关工作。</w:t>
      </w:r>
    </w:p>
    <w:p w14:paraId="31447E40">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成本补偿和风险分担约定：本合同为固定总价合同，合同价款已包含完成本项目全部工作所需的人工、材料、设备、差旅、税费、管理等所有费用，除合同另有约定外，甲方无需向乙方支付任何额外费用。项目实施过程中的市场价格波动、政策调整、现场条件变化等所有风险均由乙方自行承担，甲方不承担任何成本补偿责任。</w:t>
      </w:r>
    </w:p>
    <w:p w14:paraId="596A651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b/>
          <w:color w:val="auto"/>
          <w:sz w:val="24"/>
        </w:rPr>
      </w:pPr>
      <w:r>
        <w:rPr>
          <w:rFonts w:hint="eastAsia" w:ascii="宋体" w:hAnsi="宋体" w:eastAsia="宋体" w:cs="Times New Roman"/>
          <w:b/>
          <w:bCs/>
          <w:color w:val="auto"/>
          <w:sz w:val="24"/>
          <w:lang w:val="en-US" w:eastAsia="zh-CN"/>
        </w:rPr>
        <w:t xml:space="preserve">第七条 </w:t>
      </w:r>
      <w:r>
        <w:rPr>
          <w:rFonts w:hint="eastAsia" w:ascii="宋体" w:hAnsi="宋体"/>
          <w:b/>
          <w:color w:val="auto"/>
          <w:sz w:val="24"/>
          <w:lang w:val="en-US" w:eastAsia="zh-CN"/>
        </w:rPr>
        <w:t>项目</w:t>
      </w:r>
      <w:r>
        <w:rPr>
          <w:rFonts w:hint="eastAsia" w:ascii="宋体" w:hAnsi="宋体"/>
          <w:b/>
          <w:color w:val="auto"/>
          <w:sz w:val="24"/>
        </w:rPr>
        <w:t xml:space="preserve">验收 </w:t>
      </w:r>
    </w:p>
    <w:p w14:paraId="4FEBA36E">
      <w:pPr>
        <w:adjustRightInd w:val="0"/>
        <w:snapToGrid w:val="0"/>
        <w:spacing w:line="440" w:lineRule="exact"/>
        <w:ind w:firstLine="480" w:firstLineChars="200"/>
        <w:rPr>
          <w:rFonts w:hint="eastAsia" w:ascii="宋体" w:hAnsi="宋体"/>
          <w:color w:val="auto"/>
          <w:sz w:val="24"/>
          <w:lang w:eastAsia="zh-CN"/>
        </w:rPr>
      </w:pPr>
      <w:r>
        <w:rPr>
          <w:rFonts w:hint="eastAsia" w:ascii="宋体" w:hAnsi="宋体"/>
          <w:color w:val="auto"/>
          <w:sz w:val="24"/>
          <w:lang w:val="en-US" w:eastAsia="zh-CN"/>
        </w:rPr>
        <w:t>1、</w:t>
      </w:r>
      <w:r>
        <w:rPr>
          <w:rFonts w:hint="eastAsia" w:ascii="宋体" w:hAnsi="宋体"/>
          <w:color w:val="auto"/>
          <w:sz w:val="24"/>
          <w:lang w:eastAsia="zh-CN"/>
        </w:rPr>
        <w:t>符合国家法律法规规定的标准、</w:t>
      </w:r>
      <w:r>
        <w:rPr>
          <w:rFonts w:hint="eastAsia" w:ascii="宋体" w:hAnsi="宋体"/>
          <w:color w:val="auto"/>
          <w:sz w:val="24"/>
          <w:lang w:val="en-US" w:eastAsia="zh-CN"/>
        </w:rPr>
        <w:t>磋商</w:t>
      </w:r>
      <w:r>
        <w:rPr>
          <w:rFonts w:hint="eastAsia" w:ascii="宋体" w:hAnsi="宋体"/>
          <w:color w:val="auto"/>
          <w:sz w:val="24"/>
          <w:lang w:eastAsia="zh-CN"/>
        </w:rPr>
        <w:t>文件和</w:t>
      </w:r>
      <w:r>
        <w:rPr>
          <w:rFonts w:hint="eastAsia" w:ascii="宋体" w:hAnsi="宋体"/>
          <w:color w:val="auto"/>
          <w:sz w:val="24"/>
          <w:lang w:val="en-US" w:eastAsia="zh-CN"/>
        </w:rPr>
        <w:t>磋商响应</w:t>
      </w:r>
      <w:r>
        <w:rPr>
          <w:rFonts w:hint="eastAsia" w:ascii="宋体" w:hAnsi="宋体"/>
          <w:color w:val="auto"/>
          <w:sz w:val="24"/>
          <w:lang w:eastAsia="zh-CN"/>
        </w:rPr>
        <w:t>文件所要求的</w:t>
      </w:r>
      <w:r>
        <w:rPr>
          <w:rFonts w:hint="eastAsia" w:ascii="宋体" w:hAnsi="宋体"/>
          <w:color w:val="auto"/>
          <w:sz w:val="24"/>
          <w:lang w:eastAsia="zh-CN"/>
        </w:rPr>
        <w:fldChar w:fldCharType="begin"/>
      </w:r>
      <w:r>
        <w:rPr>
          <w:rFonts w:hint="eastAsia" w:ascii="宋体" w:hAnsi="宋体"/>
          <w:color w:val="auto"/>
          <w:sz w:val="24"/>
          <w:lang w:eastAsia="zh-CN"/>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宋体" w:hAnsi="宋体"/>
          <w:color w:val="auto"/>
          <w:sz w:val="24"/>
          <w:lang w:eastAsia="zh-CN"/>
        </w:rPr>
        <w:fldChar w:fldCharType="separate"/>
      </w:r>
      <w:r>
        <w:rPr>
          <w:rFonts w:hint="eastAsia" w:ascii="宋体" w:hAnsi="宋体"/>
          <w:color w:val="auto"/>
          <w:sz w:val="24"/>
          <w:lang w:eastAsia="zh-CN"/>
        </w:rPr>
        <w:t>技术标准</w:t>
      </w:r>
      <w:r>
        <w:rPr>
          <w:rFonts w:hint="eastAsia" w:ascii="宋体" w:hAnsi="宋体"/>
          <w:color w:val="auto"/>
          <w:sz w:val="24"/>
          <w:lang w:eastAsia="zh-CN"/>
        </w:rPr>
        <w:fldChar w:fldCharType="end"/>
      </w:r>
      <w:r>
        <w:rPr>
          <w:rFonts w:hint="eastAsia" w:ascii="宋体" w:hAnsi="宋体"/>
          <w:color w:val="auto"/>
          <w:sz w:val="24"/>
          <w:lang w:eastAsia="zh-CN"/>
        </w:rPr>
        <w:t>。</w:t>
      </w:r>
    </w:p>
    <w:p w14:paraId="7675C6B4">
      <w:pPr>
        <w:adjustRightInd w:val="0"/>
        <w:snapToGrid w:val="0"/>
        <w:spacing w:line="440" w:lineRule="exact"/>
        <w:ind w:firstLine="480" w:firstLineChars="200"/>
        <w:rPr>
          <w:rFonts w:hint="eastAsia" w:ascii="宋体" w:hAnsi="宋体"/>
          <w:color w:val="auto"/>
          <w:sz w:val="24"/>
          <w:lang w:eastAsia="zh-CN"/>
        </w:rPr>
      </w:pPr>
      <w:r>
        <w:rPr>
          <w:rFonts w:hint="eastAsia" w:ascii="宋体" w:hAnsi="宋体"/>
          <w:color w:val="auto"/>
          <w:sz w:val="24"/>
          <w:lang w:val="en-US" w:eastAsia="zh-CN"/>
        </w:rPr>
        <w:t>2、成交供应商</w:t>
      </w:r>
      <w:r>
        <w:rPr>
          <w:rFonts w:hint="eastAsia" w:ascii="宋体" w:hAnsi="宋体"/>
          <w:color w:val="auto"/>
          <w:sz w:val="24"/>
          <w:lang w:eastAsia="zh-CN"/>
        </w:rPr>
        <w:t>交付的</w:t>
      </w:r>
      <w:r>
        <w:rPr>
          <w:rFonts w:hint="eastAsia" w:ascii="宋体" w:hAnsi="宋体"/>
          <w:color w:val="auto"/>
          <w:sz w:val="24"/>
          <w:lang w:val="en-US" w:eastAsia="zh-CN"/>
        </w:rPr>
        <w:t>调查成果文件</w:t>
      </w:r>
      <w:r>
        <w:rPr>
          <w:rFonts w:hint="eastAsia" w:ascii="宋体" w:hAnsi="宋体"/>
          <w:color w:val="auto"/>
          <w:sz w:val="24"/>
          <w:lang w:eastAsia="zh-CN"/>
        </w:rPr>
        <w:t>须经专家评审通过。</w:t>
      </w:r>
    </w:p>
    <w:p w14:paraId="665BC636">
      <w:pPr>
        <w:adjustRightInd w:val="0"/>
        <w:snapToGrid w:val="0"/>
        <w:spacing w:line="440" w:lineRule="exact"/>
        <w:ind w:firstLine="480" w:firstLineChars="200"/>
        <w:rPr>
          <w:rFonts w:hint="eastAsia" w:ascii="宋体" w:hAnsi="宋体"/>
          <w:color w:val="auto"/>
          <w:sz w:val="24"/>
          <w:lang w:val="en-US" w:eastAsia="zh-CN"/>
        </w:rPr>
      </w:pPr>
      <w:r>
        <w:rPr>
          <w:rFonts w:hint="eastAsia" w:ascii="宋体" w:hAnsi="宋体"/>
          <w:color w:val="auto"/>
          <w:sz w:val="24"/>
          <w:lang w:val="en-US" w:eastAsia="zh-CN"/>
        </w:rPr>
        <w:t>3、成交供应商向采购人提交项目实施过程中的所有资料。</w:t>
      </w:r>
    </w:p>
    <w:p w14:paraId="5A056626">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验收依据</w:t>
      </w:r>
    </w:p>
    <w:p w14:paraId="48D37DCB">
      <w:pPr>
        <w:keepNext w:val="0"/>
        <w:keepLines w:val="0"/>
        <w:pageBreakBefore w:val="0"/>
        <w:widowControl w:val="0"/>
        <w:kinsoku/>
        <w:wordWrap/>
        <w:overflowPunct/>
        <w:topLinePunct w:val="0"/>
        <w:autoSpaceDE/>
        <w:autoSpaceDN/>
        <w:bidi w:val="0"/>
        <w:spacing w:line="440" w:lineRule="exact"/>
        <w:ind w:firstLine="480" w:firstLineChars="200"/>
        <w:textAlignment w:val="auto"/>
        <w:rPr>
          <w:rFonts w:hint="eastAsia" w:ascii="宋体" w:hAnsi="宋体"/>
          <w:color w:val="auto"/>
          <w:sz w:val="24"/>
        </w:rPr>
      </w:pPr>
      <w:r>
        <w:rPr>
          <w:rFonts w:ascii="宋体" w:hAnsi="宋体"/>
          <w:color w:val="auto"/>
          <w:sz w:val="24"/>
        </w:rPr>
        <w:t xml:space="preserve">(1) </w:t>
      </w:r>
      <w:r>
        <w:rPr>
          <w:rFonts w:hint="eastAsia" w:ascii="宋体" w:hAnsi="宋体"/>
          <w:color w:val="auto"/>
          <w:sz w:val="24"/>
        </w:rPr>
        <w:t xml:space="preserve">国内相应的标准、规范； </w:t>
      </w:r>
    </w:p>
    <w:p w14:paraId="3A216722">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color w:val="auto"/>
          <w:sz w:val="24"/>
        </w:rPr>
      </w:pPr>
      <w:r>
        <w:rPr>
          <w:rFonts w:ascii="宋体" w:hAnsi="宋体"/>
          <w:color w:val="auto"/>
          <w:sz w:val="24"/>
        </w:rPr>
        <w:t xml:space="preserve">(2) </w:t>
      </w:r>
      <w:r>
        <w:rPr>
          <w:rFonts w:hint="eastAsia" w:ascii="宋体" w:hAnsi="宋体"/>
          <w:color w:val="auto"/>
          <w:sz w:val="24"/>
        </w:rPr>
        <w:t>合同文本；</w:t>
      </w:r>
    </w:p>
    <w:p w14:paraId="6E83E5D0">
      <w:pPr>
        <w:keepNext w:val="0"/>
        <w:keepLines w:val="0"/>
        <w:pageBreakBefore w:val="0"/>
        <w:widowControl w:val="0"/>
        <w:kinsoku/>
        <w:wordWrap/>
        <w:overflowPunct/>
        <w:topLinePunct w:val="0"/>
        <w:autoSpaceDE/>
        <w:autoSpaceDN/>
        <w:bidi w:val="0"/>
        <w:adjustRightInd w:val="0"/>
        <w:snapToGrid w:val="0"/>
        <w:spacing w:line="440" w:lineRule="exact"/>
        <w:ind w:firstLine="480" w:firstLineChars="200"/>
        <w:textAlignment w:val="auto"/>
        <w:rPr>
          <w:rFonts w:hint="eastAsia" w:ascii="宋体" w:hAnsi="宋体"/>
          <w:color w:val="auto"/>
          <w:sz w:val="24"/>
        </w:rPr>
      </w:pPr>
      <w:r>
        <w:rPr>
          <w:rFonts w:ascii="宋体" w:hAnsi="宋体"/>
          <w:color w:val="auto"/>
          <w:sz w:val="24"/>
        </w:rPr>
        <w:t xml:space="preserve">(3) </w:t>
      </w:r>
      <w:r>
        <w:rPr>
          <w:rFonts w:hint="eastAsia" w:ascii="宋体" w:hAnsi="宋体"/>
          <w:color w:val="auto"/>
          <w:sz w:val="24"/>
        </w:rPr>
        <w:t>磋商文件和磋商响应文件。</w:t>
      </w:r>
    </w:p>
    <w:p w14:paraId="7DF16344">
      <w:pPr>
        <w:adjustRightInd w:val="0"/>
        <w:snapToGrid w:val="0"/>
        <w:spacing w:before="156" w:beforeLines="50" w:line="440" w:lineRule="exact"/>
        <w:ind w:firstLine="422" w:firstLineChars="175"/>
        <w:rPr>
          <w:rFonts w:hint="eastAsia" w:ascii="宋体" w:hAnsi="宋体"/>
          <w:bCs/>
          <w:color w:val="auto"/>
          <w:sz w:val="24"/>
          <w:highlight w:val="none"/>
        </w:rPr>
      </w:pPr>
      <w:r>
        <w:rPr>
          <w:rFonts w:hint="eastAsia" w:ascii="宋体" w:hAnsi="宋体"/>
          <w:b/>
          <w:color w:val="auto"/>
          <w:sz w:val="24"/>
          <w:highlight w:val="none"/>
          <w:lang w:val="en-US" w:eastAsia="zh-CN"/>
        </w:rPr>
        <w:t xml:space="preserve">第八条 </w:t>
      </w:r>
      <w:r>
        <w:rPr>
          <w:rFonts w:hint="eastAsia" w:ascii="宋体" w:hAnsi="宋体"/>
          <w:b/>
          <w:color w:val="auto"/>
          <w:sz w:val="24"/>
          <w:highlight w:val="none"/>
        </w:rPr>
        <w:t>款项结算</w:t>
      </w:r>
    </w:p>
    <w:p w14:paraId="40C21DE9">
      <w:pPr>
        <w:spacing w:line="440" w:lineRule="exact"/>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乙方提交全部成果并经甲方验收合格后，达到付款条件起10日内，一次性支付。</w:t>
      </w:r>
    </w:p>
    <w:p w14:paraId="2833C54C">
      <w:pPr>
        <w:spacing w:line="440" w:lineRule="exact"/>
        <w:ind w:firstLine="480" w:firstLineChars="200"/>
        <w:rPr>
          <w:rFonts w:ascii="宋体"/>
          <w:color w:val="auto"/>
          <w:kern w:val="0"/>
          <w:sz w:val="24"/>
          <w:highlight w:val="none"/>
        </w:rPr>
      </w:pPr>
      <w:r>
        <w:rPr>
          <w:rFonts w:hint="eastAsia" w:ascii="宋体" w:hAnsi="宋体"/>
          <w:color w:val="auto"/>
          <w:kern w:val="0"/>
          <w:sz w:val="24"/>
          <w:highlight w:val="none"/>
        </w:rPr>
        <w:t>支付单位为：</w:t>
      </w:r>
      <w:r>
        <w:rPr>
          <w:rFonts w:hint="eastAsia" w:ascii="宋体" w:hAnsi="宋体"/>
          <w:color w:val="auto"/>
          <w:kern w:val="0"/>
          <w:sz w:val="24"/>
          <w:highlight w:val="none"/>
          <w:lang w:eastAsia="zh-CN"/>
        </w:rPr>
        <w:t>铜川市耀州区野生动物保护管理站</w:t>
      </w:r>
      <w:r>
        <w:rPr>
          <w:rFonts w:hint="eastAsia" w:ascii="宋体" w:hAnsi="宋体"/>
          <w:color w:val="auto"/>
          <w:kern w:val="0"/>
          <w:sz w:val="24"/>
          <w:highlight w:val="none"/>
        </w:rPr>
        <w:t>。</w:t>
      </w:r>
    </w:p>
    <w:p w14:paraId="4DE6A866">
      <w:pPr>
        <w:spacing w:line="44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发票开具的“单位（人）名称”为：</w:t>
      </w:r>
      <w:r>
        <w:rPr>
          <w:rFonts w:hint="eastAsia" w:ascii="宋体" w:hAnsi="宋体"/>
          <w:color w:val="auto"/>
          <w:kern w:val="0"/>
          <w:sz w:val="24"/>
          <w:highlight w:val="none"/>
          <w:lang w:eastAsia="zh-CN"/>
        </w:rPr>
        <w:t>铜川市耀州区野生动物保护管理站</w:t>
      </w:r>
      <w:r>
        <w:rPr>
          <w:rFonts w:hint="eastAsia" w:ascii="宋体" w:hAnsi="宋体"/>
          <w:color w:val="auto"/>
          <w:kern w:val="0"/>
          <w:sz w:val="24"/>
          <w:highlight w:val="none"/>
        </w:rPr>
        <w:t>。</w:t>
      </w:r>
    </w:p>
    <w:p w14:paraId="4C9E8BA2">
      <w:pPr>
        <w:spacing w:line="440" w:lineRule="exact"/>
        <w:ind w:firstLine="480" w:firstLineChars="200"/>
        <w:rPr>
          <w:rFonts w:hint="eastAsia" w:ascii="宋体" w:hAnsi="宋体"/>
          <w:color w:val="auto"/>
          <w:kern w:val="0"/>
          <w:sz w:val="24"/>
          <w:highlight w:val="red"/>
        </w:rPr>
      </w:pPr>
      <w:r>
        <w:rPr>
          <w:rFonts w:hint="eastAsia" w:ascii="宋体" w:hAnsi="宋体"/>
          <w:color w:val="auto"/>
          <w:kern w:val="0"/>
          <w:sz w:val="24"/>
          <w:highlight w:val="none"/>
        </w:rPr>
        <w:t>结算方式：银行转账。</w:t>
      </w:r>
    </w:p>
    <w:p w14:paraId="3846CF0E">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b/>
          <w:bCs/>
          <w:color w:val="auto"/>
          <w:sz w:val="24"/>
          <w:lang w:val="en-US" w:eastAsia="zh-CN"/>
        </w:rPr>
      </w:pPr>
      <w:r>
        <w:rPr>
          <w:rFonts w:hint="eastAsia" w:ascii="宋体" w:hAnsi="宋体" w:eastAsia="宋体" w:cs="Times New Roman"/>
          <w:b/>
          <w:bCs/>
          <w:color w:val="auto"/>
          <w:sz w:val="24"/>
          <w:lang w:val="en-US" w:eastAsia="zh-CN"/>
        </w:rPr>
        <w:t>第九条 甲方责任</w:t>
      </w:r>
    </w:p>
    <w:p w14:paraId="7B3DA3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1、甲方按本项目具体情况提供乙方所需材料，甲方协助乙方完成资料、文件收集工作，并对其完整性、正确性及时限性负责，甲方不得要求乙方违反国家有关标准。</w:t>
      </w:r>
    </w:p>
    <w:p w14:paraId="4D739DE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b/>
          <w:bCs/>
          <w:color w:val="auto"/>
          <w:sz w:val="24"/>
          <w:lang w:val="en-US" w:eastAsia="zh-CN"/>
        </w:rPr>
      </w:pPr>
      <w:r>
        <w:rPr>
          <w:rFonts w:hint="eastAsia" w:ascii="宋体" w:hAnsi="宋体" w:eastAsia="宋体" w:cs="Times New Roman"/>
          <w:b/>
          <w:bCs/>
          <w:color w:val="auto"/>
          <w:sz w:val="24"/>
          <w:lang w:val="en-US" w:eastAsia="zh-CN"/>
        </w:rPr>
        <w:t>第十条 乙方责任</w:t>
      </w:r>
    </w:p>
    <w:p w14:paraId="681A1B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1</w:t>
      </w:r>
      <w:r>
        <w:rPr>
          <w:rFonts w:hint="eastAsia" w:ascii="宋体" w:hAnsi="宋体" w:eastAsia="宋体" w:cs="Times New Roman"/>
          <w:color w:val="auto"/>
          <w:sz w:val="24"/>
        </w:rPr>
        <w:t>、乙方所指派的项目负责人，在合同履行中未经甲方同意不得擅自更换他人。</w:t>
      </w:r>
    </w:p>
    <w:p w14:paraId="6CA5729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乙方项目负责人：         ，联系电话：         。</w:t>
      </w:r>
    </w:p>
    <w:p w14:paraId="419EDB6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2</w:t>
      </w:r>
      <w:r>
        <w:rPr>
          <w:rFonts w:hint="eastAsia" w:ascii="宋体" w:hAnsi="宋体" w:eastAsia="宋体" w:cs="Times New Roman"/>
          <w:color w:val="auto"/>
          <w:sz w:val="24"/>
        </w:rPr>
        <w:t>、如乙方交付</w:t>
      </w:r>
      <w:r>
        <w:rPr>
          <w:rFonts w:hint="eastAsia" w:ascii="宋体" w:hAnsi="宋体" w:eastAsia="宋体" w:cs="Times New Roman"/>
          <w:color w:val="auto"/>
          <w:sz w:val="24"/>
          <w:lang w:val="en-US" w:eastAsia="zh-CN"/>
        </w:rPr>
        <w:t>调查</w:t>
      </w:r>
      <w:r>
        <w:rPr>
          <w:rFonts w:hint="eastAsia" w:ascii="宋体" w:hAnsi="宋体" w:eastAsia="宋体" w:cs="Times New Roman"/>
          <w:color w:val="auto"/>
          <w:sz w:val="24"/>
        </w:rPr>
        <w:t>成果，经甲方审核连续</w:t>
      </w:r>
      <w:r>
        <w:rPr>
          <w:rFonts w:hint="eastAsia" w:ascii="宋体" w:hAnsi="宋体" w:eastAsia="宋体" w:cs="Times New Roman"/>
          <w:b/>
          <w:bCs/>
          <w:color w:val="auto"/>
          <w:sz w:val="24"/>
        </w:rPr>
        <w:t>3次</w:t>
      </w:r>
      <w:r>
        <w:rPr>
          <w:rFonts w:hint="eastAsia" w:ascii="宋体" w:hAnsi="宋体" w:eastAsia="宋体" w:cs="Times New Roman"/>
          <w:color w:val="auto"/>
          <w:sz w:val="24"/>
        </w:rPr>
        <w:t>不能通过的，甲方有权单方解除合同，并依据有关规定向乙方主张违约责任。</w:t>
      </w:r>
    </w:p>
    <w:p w14:paraId="207ECEF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3</w:t>
      </w:r>
      <w:r>
        <w:rPr>
          <w:rFonts w:hint="eastAsia" w:ascii="宋体" w:hAnsi="宋体" w:eastAsia="宋体" w:cs="Times New Roman"/>
          <w:color w:val="auto"/>
          <w:sz w:val="24"/>
        </w:rPr>
        <w:t>、乙方所交</w:t>
      </w:r>
      <w:r>
        <w:rPr>
          <w:rFonts w:hint="eastAsia" w:ascii="宋体" w:hAnsi="宋体" w:eastAsia="宋体" w:cs="Times New Roman"/>
          <w:color w:val="auto"/>
          <w:sz w:val="24"/>
          <w:lang w:val="en-US" w:eastAsia="zh-CN"/>
        </w:rPr>
        <w:t>调查</w:t>
      </w:r>
      <w:r>
        <w:rPr>
          <w:rFonts w:hint="eastAsia" w:ascii="宋体" w:hAnsi="宋体" w:eastAsia="宋体" w:cs="Times New Roman"/>
          <w:color w:val="auto"/>
          <w:sz w:val="24"/>
        </w:rPr>
        <w:t>成果不符合</w:t>
      </w:r>
      <w:r>
        <w:rPr>
          <w:rFonts w:hint="eastAsia" w:ascii="宋体" w:hAnsi="宋体" w:eastAsia="宋体" w:cs="Times New Roman"/>
          <w:color w:val="auto"/>
          <w:sz w:val="24"/>
          <w:lang w:val="en-US" w:eastAsia="zh-CN"/>
        </w:rPr>
        <w:t>招标技术要求</w:t>
      </w:r>
      <w:r>
        <w:rPr>
          <w:rFonts w:hint="eastAsia" w:ascii="宋体" w:hAnsi="宋体" w:eastAsia="宋体" w:cs="Times New Roman"/>
          <w:color w:val="auto"/>
          <w:sz w:val="24"/>
        </w:rPr>
        <w:t>和合同规定的，甲方有权拒收，并由乙方承担一切费用。</w:t>
      </w:r>
    </w:p>
    <w:p w14:paraId="49C603A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4</w:t>
      </w:r>
      <w:r>
        <w:rPr>
          <w:rFonts w:hint="eastAsia" w:ascii="宋体" w:hAnsi="宋体" w:eastAsia="宋体" w:cs="Times New Roman"/>
          <w:color w:val="auto"/>
          <w:sz w:val="24"/>
        </w:rPr>
        <w:t>、乙方应承担</w:t>
      </w:r>
      <w:r>
        <w:rPr>
          <w:rFonts w:hint="eastAsia" w:ascii="宋体" w:hAnsi="宋体" w:eastAsia="宋体" w:cs="Times New Roman"/>
          <w:color w:val="auto"/>
          <w:sz w:val="24"/>
          <w:lang w:val="en-US" w:eastAsia="zh-CN"/>
        </w:rPr>
        <w:t>调查监测服务过程中</w:t>
      </w:r>
      <w:r>
        <w:rPr>
          <w:rFonts w:hint="eastAsia" w:ascii="宋体" w:hAnsi="宋体" w:eastAsia="宋体" w:cs="Times New Roman"/>
          <w:color w:val="auto"/>
          <w:sz w:val="24"/>
        </w:rPr>
        <w:t>的责任和风险以及期间发生的一切费用，乙方若发生的人身伤亡、财产或其他损失，不论何种原因所造成，甲方均不承担责任。</w:t>
      </w:r>
    </w:p>
    <w:p w14:paraId="6208BA2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5</w:t>
      </w:r>
      <w:r>
        <w:rPr>
          <w:rFonts w:hint="eastAsia" w:ascii="宋体" w:hAnsi="宋体" w:eastAsia="宋体" w:cs="Times New Roman"/>
          <w:color w:val="auto"/>
          <w:sz w:val="24"/>
        </w:rPr>
        <w:t>、乙方需保证本成果或其授予的权利不会侵犯任何第三人的知识产权或其他权利，也没有其他针对乙方拥有本成果权利的未决诉讼，或甲方行使乙方所提供的成果权利会侵犯任何第三人的合法权利。</w:t>
      </w:r>
    </w:p>
    <w:p w14:paraId="22084338">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b/>
          <w:bCs/>
          <w:color w:val="auto"/>
          <w:sz w:val="24"/>
          <w:lang w:val="en-US" w:eastAsia="zh-CN"/>
        </w:rPr>
        <w:t>第十一条 违约责任</w:t>
      </w:r>
      <w:r>
        <w:rPr>
          <w:rFonts w:hint="eastAsia" w:ascii="宋体" w:hAnsi="宋体" w:eastAsia="宋体" w:cs="Times New Roman"/>
          <w:color w:val="auto"/>
          <w:sz w:val="24"/>
          <w:lang w:val="en-US" w:eastAsia="zh-CN"/>
        </w:rPr>
        <w:t xml:space="preserve"> </w:t>
      </w:r>
    </w:p>
    <w:p w14:paraId="3908A457">
      <w:pPr>
        <w:adjustRightInd w:val="0"/>
        <w:snapToGrid w:val="0"/>
        <w:spacing w:line="440" w:lineRule="exact"/>
        <w:ind w:firstLine="480" w:firstLineChars="200"/>
        <w:rPr>
          <w:rFonts w:hint="eastAsia" w:ascii="宋体" w:hAnsi="宋体"/>
          <w:color w:val="auto"/>
          <w:sz w:val="24"/>
        </w:rPr>
      </w:pPr>
      <w:r>
        <w:rPr>
          <w:rFonts w:hint="eastAsia" w:ascii="宋体" w:hAnsi="宋体"/>
          <w:color w:val="auto"/>
          <w:sz w:val="24"/>
          <w:lang w:val="en-US" w:eastAsia="zh-CN"/>
        </w:rPr>
        <w:t>1、</w:t>
      </w:r>
      <w:r>
        <w:rPr>
          <w:rFonts w:hint="eastAsia" w:ascii="宋体" w:hAnsi="宋体"/>
          <w:color w:val="auto"/>
          <w:sz w:val="24"/>
        </w:rPr>
        <w:t xml:space="preserve"> 按《中华人民共和国</w:t>
      </w:r>
      <w:r>
        <w:rPr>
          <w:rFonts w:hint="eastAsia" w:ascii="宋体" w:hAnsi="宋体"/>
          <w:color w:val="auto"/>
          <w:sz w:val="24"/>
          <w:lang w:val="en-US" w:eastAsia="zh-CN"/>
        </w:rPr>
        <w:t>民法典</w:t>
      </w:r>
      <w:r>
        <w:rPr>
          <w:rFonts w:hint="eastAsia" w:ascii="宋体" w:hAnsi="宋体"/>
          <w:color w:val="auto"/>
          <w:sz w:val="24"/>
        </w:rPr>
        <w:t>》中的相关条款执行。</w:t>
      </w:r>
    </w:p>
    <w:p w14:paraId="5ED18CD3">
      <w:pPr>
        <w:adjustRightInd w:val="0"/>
        <w:snapToGrid w:val="0"/>
        <w:spacing w:line="440" w:lineRule="exact"/>
        <w:ind w:firstLine="480" w:firstLineChars="200"/>
        <w:rPr>
          <w:rFonts w:hint="eastAsia" w:ascii="宋体" w:hAnsi="宋体" w:eastAsia="宋体" w:cs="Times New Roman"/>
          <w:color w:val="auto"/>
          <w:sz w:val="24"/>
          <w:lang w:val="en-US" w:eastAsia="zh-CN"/>
        </w:rPr>
      </w:pPr>
      <w:r>
        <w:rPr>
          <w:rFonts w:hint="eastAsia" w:ascii="宋体" w:hAnsi="宋体"/>
          <w:color w:val="auto"/>
          <w:sz w:val="24"/>
          <w:lang w:val="en-US" w:eastAsia="zh-CN"/>
        </w:rPr>
        <w:t>2、</w:t>
      </w:r>
      <w:r>
        <w:rPr>
          <w:rFonts w:hint="eastAsia" w:ascii="宋体" w:hAnsi="宋体"/>
          <w:color w:val="auto"/>
          <w:sz w:val="24"/>
        </w:rPr>
        <w:t>未按合同要求提供施工与服务</w:t>
      </w:r>
      <w:r>
        <w:rPr>
          <w:rFonts w:hint="eastAsia" w:ascii="宋体" w:hAnsi="宋体"/>
          <w:color w:val="auto"/>
          <w:sz w:val="24"/>
          <w:lang w:val="en-US" w:eastAsia="zh-CN"/>
        </w:rPr>
        <w:t>或</w:t>
      </w:r>
      <w:r>
        <w:rPr>
          <w:rFonts w:hint="eastAsia" w:ascii="宋体" w:hAnsi="宋体"/>
          <w:color w:val="auto"/>
          <w:sz w:val="24"/>
        </w:rPr>
        <w:t>不能满足技术要求，采购人有权终止合同，并对成交人违约行为进行追究，同时按《政府采购法》的有关规定进行处罚。</w:t>
      </w:r>
      <w:r>
        <w:rPr>
          <w:rFonts w:hint="eastAsia" w:ascii="宋体" w:hAnsi="宋体" w:eastAsia="宋体" w:cs="Times New Roman"/>
          <w:color w:val="auto"/>
          <w:sz w:val="24"/>
          <w:lang w:val="en-US" w:eastAsia="zh-CN"/>
        </w:rPr>
        <w:t xml:space="preserve"> </w:t>
      </w:r>
    </w:p>
    <w:p w14:paraId="7E6AD0E6">
      <w:pPr>
        <w:pStyle w:val="8"/>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kern w:val="2"/>
          <w:sz w:val="24"/>
          <w:szCs w:val="24"/>
          <w:lang w:val="en-US" w:eastAsia="zh-CN" w:bidi="ar-SA"/>
        </w:rPr>
        <w:t>3、违约责任与解决争议的方法：违约责任3.1.合同期限内乙方未完成委托内容或交付成果不符合合同约定或甲方要求的，乙方应重新修改。逾期仍未完成导致合同目的无法实现的，甲方有权解除合同，乙方应返还已付款项并按合同金额的20%承担违约金。3.2.未经甲方同意，乙方不得将本合同的权利和义务全部或部分转让给任何第三方(即不得分包、转包)，否则甲方有权随时解除合同，并要求乙方承担合同总金额20%的违约责任。3.3.乙方违约时，甲方向乙方主张权利产生的费用(包括但不限于诉讼费、保全费、公告费、执行费、律师费、</w:t>
      </w:r>
      <w:bookmarkStart w:id="0" w:name="_GoBack"/>
      <w:bookmarkEnd w:id="0"/>
      <w:r>
        <w:rPr>
          <w:rFonts w:hint="eastAsia" w:ascii="宋体" w:hAnsi="宋体" w:eastAsia="宋体" w:cs="Times New Roman"/>
          <w:color w:val="auto"/>
          <w:kern w:val="2"/>
          <w:sz w:val="24"/>
          <w:szCs w:val="24"/>
          <w:lang w:val="en-US" w:eastAsia="zh-CN" w:bidi="ar-SA"/>
        </w:rPr>
        <w:t xml:space="preserve">公证费、差旅费、鉴定费等)均由乙方承担。 </w:t>
      </w:r>
    </w:p>
    <w:p w14:paraId="199F353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b/>
          <w:bCs/>
          <w:color w:val="auto"/>
          <w:sz w:val="24"/>
          <w:lang w:val="en-US" w:eastAsia="zh-CN"/>
        </w:rPr>
        <w:t>第十二条 争端的解决</w:t>
      </w:r>
      <w:r>
        <w:rPr>
          <w:rFonts w:hint="eastAsia" w:ascii="宋体" w:hAnsi="宋体" w:eastAsia="宋体" w:cs="Times New Roman"/>
          <w:color w:val="auto"/>
          <w:sz w:val="24"/>
          <w:lang w:val="en-US" w:eastAsia="zh-CN"/>
        </w:rPr>
        <w:t xml:space="preserve"> </w:t>
      </w:r>
    </w:p>
    <w:p w14:paraId="79D77910">
      <w:pPr>
        <w:pStyle w:val="8"/>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Times New Roman"/>
          <w:color w:val="auto"/>
          <w:sz w:val="24"/>
          <w:lang w:val="en-US" w:eastAsia="zh-CN"/>
        </w:rPr>
      </w:pPr>
      <w:r>
        <w:rPr>
          <w:rFonts w:hint="eastAsia" w:ascii="宋体" w:hAnsi="宋体" w:eastAsia="宋体" w:cs="Times New Roman"/>
          <w:color w:val="auto"/>
          <w:kern w:val="2"/>
          <w:sz w:val="24"/>
          <w:szCs w:val="24"/>
          <w:lang w:val="en-US" w:eastAsia="zh-CN" w:bidi="ar-SA"/>
        </w:rPr>
        <w:t>争议解决 因本合同引起的或与本合同有关的任何争议，双方应首先通过友好协商解决；协商不成的，任何一方均有权向甲方所在地有管辖权的人民法院提起诉讼。</w:t>
      </w:r>
    </w:p>
    <w:p w14:paraId="4C98D6A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b/>
          <w:bCs/>
          <w:color w:val="auto"/>
          <w:sz w:val="24"/>
          <w:lang w:val="en-US" w:eastAsia="zh-CN"/>
        </w:rPr>
        <w:t>第十三条 不可抗力</w:t>
      </w:r>
      <w:r>
        <w:rPr>
          <w:rFonts w:hint="eastAsia" w:ascii="宋体" w:hAnsi="宋体" w:eastAsia="宋体" w:cs="Times New Roman"/>
          <w:color w:val="auto"/>
          <w:sz w:val="24"/>
          <w:lang w:val="en-US" w:eastAsia="zh-CN"/>
        </w:rPr>
        <w:t xml:space="preserve"> </w:t>
      </w:r>
    </w:p>
    <w:p w14:paraId="083D41E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1.在合同有效期内，任何一方因不可抗力事件导致不能履行合同，则合同履行期可延长，其延长期与不可抗力影响期相同。</w:t>
      </w:r>
    </w:p>
    <w:p w14:paraId="01EE4D7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2.不可抗力事件发生后，应立即通知对方，并寄送有关权威机构出具的证明。</w:t>
      </w:r>
    </w:p>
    <w:p w14:paraId="371BC7C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lang w:val="en-US" w:eastAsia="zh-CN"/>
        </w:rPr>
      </w:pPr>
      <w:r>
        <w:rPr>
          <w:rFonts w:hint="eastAsia" w:ascii="宋体" w:hAnsi="宋体" w:eastAsia="宋体" w:cs="Times New Roman"/>
          <w:color w:val="auto"/>
          <w:sz w:val="24"/>
          <w:lang w:val="en-US" w:eastAsia="zh-CN"/>
        </w:rPr>
        <w:t>3.不可抗力事件延续30天以上，双方应通过友好协商，确定是否继续履行合同。</w:t>
      </w:r>
    </w:p>
    <w:p w14:paraId="7A390801">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outlineLvl w:val="9"/>
        <w:rPr>
          <w:rFonts w:hint="eastAsia" w:ascii="宋体" w:hAnsi="宋体" w:eastAsia="宋体" w:cs="Times New Roman"/>
          <w:b/>
          <w:bCs/>
          <w:color w:val="auto"/>
          <w:sz w:val="24"/>
        </w:rPr>
      </w:pPr>
      <w:r>
        <w:rPr>
          <w:rFonts w:hint="eastAsia" w:ascii="宋体" w:hAnsi="宋体" w:eastAsia="宋体" w:cs="Times New Roman"/>
          <w:b/>
          <w:bCs/>
          <w:color w:val="auto"/>
          <w:sz w:val="24"/>
          <w:lang w:eastAsia="zh-CN"/>
        </w:rPr>
        <w:t>第</w:t>
      </w:r>
      <w:r>
        <w:rPr>
          <w:rFonts w:hint="eastAsia" w:ascii="宋体" w:hAnsi="宋体" w:eastAsia="宋体" w:cs="Times New Roman"/>
          <w:b/>
          <w:bCs/>
          <w:color w:val="auto"/>
          <w:sz w:val="24"/>
          <w:lang w:val="en-US" w:eastAsia="zh-CN"/>
        </w:rPr>
        <w:t>十四</w:t>
      </w:r>
      <w:r>
        <w:rPr>
          <w:rFonts w:hint="eastAsia" w:ascii="宋体" w:hAnsi="宋体" w:eastAsia="宋体" w:cs="Times New Roman"/>
          <w:b/>
          <w:bCs/>
          <w:color w:val="auto"/>
          <w:sz w:val="24"/>
          <w:lang w:eastAsia="zh-CN"/>
        </w:rPr>
        <w:t>条</w:t>
      </w:r>
      <w:r>
        <w:rPr>
          <w:rFonts w:hint="eastAsia" w:ascii="宋体" w:hAnsi="宋体" w:eastAsia="宋体" w:cs="Times New Roman"/>
          <w:b/>
          <w:bCs/>
          <w:color w:val="auto"/>
          <w:sz w:val="24"/>
        </w:rPr>
        <w:t xml:space="preserve"> 成果归属及保密条款</w:t>
      </w:r>
    </w:p>
    <w:p w14:paraId="47720C2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1</w:t>
      </w:r>
      <w:r>
        <w:rPr>
          <w:rFonts w:hint="eastAsia" w:ascii="宋体" w:hAnsi="宋体" w:eastAsia="宋体" w:cs="Times New Roman"/>
          <w:color w:val="auto"/>
          <w:sz w:val="24"/>
          <w:lang w:eastAsia="zh-CN"/>
        </w:rPr>
        <w:t>、</w:t>
      </w:r>
      <w:r>
        <w:rPr>
          <w:rFonts w:hint="eastAsia" w:ascii="宋体" w:hAnsi="宋体" w:eastAsia="宋体" w:cs="Times New Roman"/>
          <w:color w:val="auto"/>
          <w:sz w:val="24"/>
        </w:rPr>
        <w:t>因本合同产生的工作成果归属于甲方所有，未经甲方同意，乙方不得擅自许可或转让给第三方使用，违反本约定给甲方造成损失的，乙方应承担由此造成的损失。</w:t>
      </w:r>
    </w:p>
    <w:p w14:paraId="4DE2425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2</w:t>
      </w:r>
      <w:r>
        <w:rPr>
          <w:rFonts w:hint="eastAsia" w:ascii="宋体" w:hAnsi="宋体" w:eastAsia="宋体" w:cs="Times New Roman"/>
          <w:color w:val="auto"/>
          <w:sz w:val="24"/>
          <w:lang w:eastAsia="zh-CN"/>
        </w:rPr>
        <w:t>、</w:t>
      </w:r>
      <w:r>
        <w:rPr>
          <w:rFonts w:hint="eastAsia" w:ascii="宋体" w:hAnsi="宋体" w:eastAsia="宋体" w:cs="Times New Roman"/>
          <w:color w:val="auto"/>
          <w:sz w:val="24"/>
        </w:rPr>
        <w:t>因本合同所需甲方提供的有关资料和文件，乙方有保密义务，不得向本合同以外的任何第三方泄露，如违反本约定，甲方有权扣除。</w:t>
      </w:r>
    </w:p>
    <w:p w14:paraId="68A31D75">
      <w:pPr>
        <w:pStyle w:val="8"/>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3、知识产权归属和处理方式： 3.1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3.2、如采用供应商所不拥有的知识产权，则在报价中必须包括合法使用该知识产权的相关费用。 3.3、构成本磋商文件的各组成部分，未经采购人书面同意，供应商不得擅自复印或用于非本磋商项目所需的其他目的。</w:t>
      </w:r>
    </w:p>
    <w:p w14:paraId="6DAAD81A"/>
    <w:sectPr>
      <w:pgSz w:w="11906" w:h="16838"/>
      <w:pgMar w:top="1440" w:right="1440" w:bottom="1440" w:left="1440"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3683E"/>
    <w:rsid w:val="1A3F1BDD"/>
    <w:rsid w:val="23A81EB5"/>
    <w:rsid w:val="3183683E"/>
    <w:rsid w:val="38804D57"/>
    <w:rsid w:val="40A90587"/>
    <w:rsid w:val="41AF3577"/>
    <w:rsid w:val="451C3BF0"/>
    <w:rsid w:val="46CF48BB"/>
    <w:rsid w:val="48AB4873"/>
    <w:rsid w:val="4BE33D2D"/>
    <w:rsid w:val="4C2F7B9F"/>
    <w:rsid w:val="4F0A0725"/>
    <w:rsid w:val="6A2E53E2"/>
    <w:rsid w:val="6C506213"/>
    <w:rsid w:val="6DA478C8"/>
    <w:rsid w:val="6DE45640"/>
    <w:rsid w:val="73462427"/>
    <w:rsid w:val="78507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0" w:lineRule="exact"/>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w:basedOn w:val="1"/>
    <w:qFormat/>
    <w:uiPriority w:val="0"/>
    <w:pPr>
      <w:spacing w:after="156" w:afterLines="50" w:line="360" w:lineRule="auto"/>
    </w:pPr>
    <w:rPr>
      <w:rFonts w:ascii="宋体" w:hAnsi="宋体" w:eastAsia="宋体" w:cs="Times New Roman"/>
      <w:color w:val="000000"/>
      <w:sz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 Char Char4 Char Char Char Char"/>
    <w:basedOn w:val="1"/>
    <w:qFormat/>
    <w:uiPriority w:val="0"/>
    <w:pPr>
      <w:spacing w:line="440" w:lineRule="atLeast"/>
      <w:ind w:firstLine="482" w:firstLineChars="200"/>
    </w:pPr>
    <w:rPr>
      <w:rFonts w:ascii="宋体" w:hAnsi="宋体"/>
      <w:b/>
      <w:color w:val="000000"/>
      <w:sz w:val="24"/>
    </w:r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3452</Words>
  <Characters>3697</Characters>
  <Lines>0</Lines>
  <Paragraphs>0</Paragraphs>
  <TotalTime>4</TotalTime>
  <ScaleCrop>false</ScaleCrop>
  <LinksUpToDate>false</LinksUpToDate>
  <CharactersWithSpaces>3874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2025-05-22T01:30:00Z</dcterms:created>
  <dc:creator>WPS_378637132</dc:creator>
  <cp:lastModifiedBy>蜡笔小新的哆啦A梦(๑• . •๑)</cp:lastModifiedBy>
  <dcterms:modified xsi:type="dcterms:W3CDTF">2026-04-10T02:05:22Z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3B4E54363F504C74A65335E2C2B63F6D_11</vt:lpwstr>
  </property>
  <property fmtid="{D5CDD505-2E9C-101B-9397-08002B2CF9AE}" pid="4" name="KSOTemplateDocerSaveRecord">
    <vt:lpwstr>eyJoZGlkIjoiNmNhOWFjYzg2ODhiZTkzODdlOGM4NGZkOWYzMjJiNTYiLCJ1c2VySWQiOiIyNDc4MzYwNTIifQ==</vt:lpwstr>
  </property>
</Properties>
</file>