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新增教室及教师所需设施设备采购</w:t>
      </w:r>
    </w:p>
    <w:p>
      <w:pPr>
        <w:pStyle w:val="null3"/>
        <w:jc w:val="center"/>
        <w:outlineLvl w:val="2"/>
      </w:pPr>
      <w:r>
        <w:rPr>
          <w:sz w:val="28"/>
          <w:b/>
        </w:rPr>
        <w:t>采购项目编号：</w:t>
      </w:r>
      <w:r>
        <w:rPr>
          <w:sz w:val="28"/>
          <w:b/>
        </w:rPr>
        <w:t>GZH-ZB-202408071</w:t>
      </w:r>
      <w:r>
        <w:br/>
      </w:r>
      <w:r>
        <w:br/>
      </w:r>
      <w:r>
        <w:br/>
      </w:r>
    </w:p>
    <w:p>
      <w:pPr>
        <w:pStyle w:val="null3"/>
        <w:jc w:val="center"/>
        <w:outlineLvl w:val="2"/>
      </w:pPr>
      <w:r>
        <w:rPr>
          <w:sz w:val="28"/>
          <w:b/>
        </w:rPr>
        <w:t>铜川高新实验学校</w:t>
      </w:r>
    </w:p>
    <w:p>
      <w:pPr>
        <w:pStyle w:val="null3"/>
        <w:jc w:val="center"/>
        <w:outlineLvl w:val="2"/>
      </w:pPr>
      <w:r>
        <w:rPr>
          <w:sz w:val="28"/>
          <w:b/>
        </w:rPr>
        <w:t>陕西国中恒工程项目管理有限公司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陕西国中恒工程项目管理有限公司</w:t>
      </w:r>
      <w:r>
        <w:rPr/>
        <w:t>（以下简称“代理机构”）受</w:t>
      </w:r>
      <w:r>
        <w:rPr/>
        <w:t>铜川高新实验学校</w:t>
      </w:r>
      <w:r>
        <w:rPr/>
        <w:t>委托，拟对</w:t>
      </w:r>
      <w:r>
        <w:rPr/>
        <w:t>新增教室及教师所需设施设备采购</w:t>
      </w:r>
      <w:r>
        <w:rPr/>
        <w:t>进行国内公开招标，兹邀请符合本次招标要求的供应商参加投标。</w:t>
      </w:r>
    </w:p>
    <w:p>
      <w:pPr>
        <w:pStyle w:val="null3"/>
        <w:outlineLvl w:val="2"/>
      </w:pPr>
      <w:r>
        <w:rPr>
          <w:sz w:val="28"/>
          <w:b/>
        </w:rPr>
        <w:t>一、采购项目编号：</w:t>
      </w:r>
      <w:r>
        <w:rPr>
          <w:sz w:val="28"/>
          <w:b/>
        </w:rPr>
        <w:t>GZH-ZB-202408071</w:t>
      </w:r>
    </w:p>
    <w:p>
      <w:pPr>
        <w:pStyle w:val="null3"/>
        <w:outlineLvl w:val="2"/>
      </w:pPr>
      <w:r>
        <w:rPr>
          <w:sz w:val="28"/>
          <w:b/>
        </w:rPr>
        <w:t>二、采购项目名称：</w:t>
      </w:r>
      <w:r>
        <w:rPr>
          <w:sz w:val="28"/>
          <w:b/>
        </w:rPr>
        <w:t>新增教室及教师所需设施设备采购</w:t>
      </w:r>
    </w:p>
    <w:p>
      <w:pPr>
        <w:pStyle w:val="null3"/>
        <w:outlineLvl w:val="2"/>
      </w:pPr>
      <w:r>
        <w:rPr>
          <w:sz w:val="28"/>
          <w:b/>
        </w:rPr>
        <w:t>三、招标项目简介</w:t>
      </w:r>
    </w:p>
    <w:p>
      <w:pPr>
        <w:pStyle w:val="null3"/>
        <w:ind w:firstLine="480"/>
      </w:pPr>
      <w:r>
        <w:rPr/>
        <w:t>铜川高新实验学校拟采购一批新增教室及教师所需设施设备，详见采购清单明细。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财务状况：①可提供2023年度经审计的财务报告（包含审计报告和审计报告中所涉及的财务报表和报表附注），②可提供2023年度供应商完整的全套财务报表（应当包括资产负债表、利润表、现金流量表、所有者权益变动表），③可提供截至投标文件提交截止日一年内银行出具的资信证明，④供应商注册时间截至投标文件提交截止日不足一年的，也可提供在工商管理部门备案的公司章程。</w:t>
      </w:r>
    </w:p>
    <w:p>
      <w:pPr>
        <w:pStyle w:val="null3"/>
      </w:pPr>
      <w:r>
        <w:rPr/>
        <w:t>3、社会保障资金缴纳证明：提供递交投标文件截止之日前一年内任意一个月的社会保障资金缴存单据或社保机构开具的社会保险参保缴费情况证明。依法不需要缴纳社会保障资金的供应商应提供相关声明或承诺。</w:t>
      </w:r>
    </w:p>
    <w:p>
      <w:pPr>
        <w:pStyle w:val="null3"/>
      </w:pPr>
      <w:r>
        <w:rPr/>
        <w:t>4、税收缴纳证明：提供递交投标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t>5、履约能力的书面声明：提供具有履行合同所必需的设备和专业技术能力的书面声明。</w:t>
      </w:r>
    </w:p>
    <w:p>
      <w:pPr>
        <w:pStyle w:val="null3"/>
      </w:pPr>
      <w:r>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铜川高新实验学校</w:t>
      </w:r>
    </w:p>
    <w:p>
      <w:pPr>
        <w:pStyle w:val="null3"/>
      </w:pPr>
      <w:r>
        <w:rPr/>
        <w:t xml:space="preserve"> 地址： </w:t>
      </w:r>
      <w:r>
        <w:rPr/>
        <w:t>铜川市新区长青南路</w:t>
      </w:r>
    </w:p>
    <w:p>
      <w:pPr>
        <w:pStyle w:val="null3"/>
      </w:pPr>
      <w:r>
        <w:rPr/>
        <w:t xml:space="preserve"> 邮编： </w:t>
      </w:r>
      <w:r>
        <w:rPr/>
        <w:t>727100</w:t>
      </w:r>
    </w:p>
    <w:p>
      <w:pPr>
        <w:pStyle w:val="null3"/>
      </w:pPr>
      <w:r>
        <w:rPr/>
        <w:t xml:space="preserve"> 联系人： </w:t>
      </w:r>
      <w:r>
        <w:rPr/>
        <w:t>田博</w:t>
      </w:r>
    </w:p>
    <w:p>
      <w:pPr>
        <w:pStyle w:val="null3"/>
      </w:pPr>
      <w:r>
        <w:rPr/>
        <w:t xml:space="preserve"> 联系电话： </w:t>
      </w:r>
      <w:r>
        <w:rPr/>
        <w:t>0919-6611120</w:t>
      </w:r>
    </w:p>
    <w:p>
      <w:pPr>
        <w:pStyle w:val="null3"/>
        <w:outlineLvl w:val="2"/>
      </w:pPr>
      <w:r>
        <w:rPr>
          <w:sz w:val="28"/>
          <w:b/>
        </w:rPr>
        <w:t>代理机构：</w:t>
      </w:r>
      <w:r>
        <w:rPr>
          <w:sz w:val="28"/>
          <w:b/>
        </w:rPr>
        <w:t>陕西国中恒工程项目管理有限公司</w:t>
      </w:r>
    </w:p>
    <w:p>
      <w:pPr>
        <w:pStyle w:val="null3"/>
      </w:pPr>
      <w:r>
        <w:rPr/>
        <w:t xml:space="preserve"> 地址： </w:t>
      </w:r>
      <w:r>
        <w:rPr/>
        <w:t>西安市北大街118号宏府大厦A座12F室</w:t>
      </w:r>
    </w:p>
    <w:p>
      <w:pPr>
        <w:pStyle w:val="null3"/>
      </w:pPr>
      <w:r>
        <w:rPr/>
        <w:t xml:space="preserve"> 邮编： </w:t>
      </w:r>
      <w:r>
        <w:rPr/>
        <w:t>710000</w:t>
      </w:r>
    </w:p>
    <w:p>
      <w:pPr>
        <w:pStyle w:val="null3"/>
      </w:pPr>
      <w:r>
        <w:rPr/>
        <w:t xml:space="preserve"> 联系人： </w:t>
      </w:r>
      <w:r>
        <w:rPr/>
        <w:t>成璇</w:t>
      </w:r>
    </w:p>
    <w:p>
      <w:pPr>
        <w:pStyle w:val="null3"/>
      </w:pPr>
      <w:r>
        <w:rPr/>
        <w:t xml:space="preserve"> 联系电话： </w:t>
      </w:r>
      <w:r>
        <w:rPr/>
        <w:t>029-87361685</w:t>
      </w:r>
    </w:p>
    <w:p>
      <w:pPr>
        <w:pStyle w:val="null3"/>
        <w:outlineLvl w:val="2"/>
      </w:pPr>
      <w:r>
        <w:rPr>
          <w:sz w:val="28"/>
          <w:b/>
        </w:rPr>
        <w:t>采购监督机构：</w:t>
      </w:r>
      <w:r>
        <w:rPr>
          <w:sz w:val="28"/>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采购包1：569,978.00元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办公电脑（A02010104 台式计算机）、智慧一体机（A0201060401 液晶显示器）</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办公电脑（A02010104 台式计算机）、智慧一体机（A0201060401 液晶显示器）、办公桌（A060299 其他台、桌类）、教学桌椅（A060299 其他台、桌类、A060301 金属骨架为主的椅凳类）</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代理服务费收费标准：根据《国家发展改革委关于降低部分建设项目收费标准规范收费行为等有关问题的通知》(发改价格[2011]534号)标准计取，不足6000按6000计取。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铜川高新实验学校</w:t>
      </w:r>
      <w:r>
        <w:rPr/>
        <w:t>和</w:t>
      </w:r>
      <w:r>
        <w:rPr/>
        <w:t>陕西国中恒工程项目管理有限公司</w:t>
      </w:r>
      <w:r>
        <w:rPr/>
        <w:t>享有。对招标文件中供应商参加本次政府采购活动应当具备的条件，招标项目技术、服务、商务及其他要求，评标细则及标准由</w:t>
      </w:r>
      <w:r>
        <w:rPr/>
        <w:t>铜川高新实验学校</w:t>
      </w:r>
      <w:r>
        <w:rPr/>
        <w:t>负责解释。除上述招标文件内容，其他内容由</w:t>
      </w:r>
      <w:r>
        <w:rPr/>
        <w:t>陕西国中恒工程项目管理有限公司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铜川高新实验学校</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陕西国中恒工程项目管理有限公司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严格按照采购文件、成交供应商响应文件、铜川市政府采购相关验收规范等相关要求组织验收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陕西国中恒工程项目管理有限公司</w:t>
      </w:r>
      <w:r>
        <w:rPr/>
        <w:t xml:space="preserve"> 负责答复；供应商对除采购需求外的采购文件的询问、质疑由</w:t>
      </w:r>
      <w:r>
        <w:rPr/>
        <w:t>陕西国中恒工程项目管理有限公司</w:t>
      </w:r>
      <w:r>
        <w:rPr/>
        <w:t xml:space="preserve"> 负责答复；供应商对采购过程、采购结果的询问、质疑由 </w:t>
      </w:r>
      <w:r>
        <w:rPr/>
        <w:t>陕西国中恒工程项目管理有限公司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联系人：成璇</w:t>
      </w:r>
    </w:p>
    <w:p>
      <w:pPr>
        <w:pStyle w:val="null3"/>
      </w:pPr>
      <w:r>
        <w:rPr/>
        <w:t>联系电话：029-87361685</w:t>
      </w:r>
    </w:p>
    <w:p>
      <w:pPr>
        <w:pStyle w:val="null3"/>
      </w:pPr>
      <w:r>
        <w:rPr/>
        <w:t>地址：西安市北大街118号宏府大厦A座12F室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铜川高新实验学校拟采购一批新增教室及教师所需设施设备，详见采购清单明细。</w:t>
      </w:r>
    </w:p>
    <w:p>
      <w:pPr>
        <w:pStyle w:val="null3"/>
        <w:outlineLvl w:val="2"/>
      </w:pPr>
      <w:r>
        <w:rPr>
          <w:sz w:val="28"/>
          <w:b/>
        </w:rPr>
        <w:t>3.2采购内容</w:t>
      </w:r>
    </w:p>
    <w:p>
      <w:pPr>
        <w:pStyle w:val="null3"/>
      </w:pPr>
      <w:r>
        <w:rPr/>
        <w:t>采购包1：</w:t>
      </w:r>
    </w:p>
    <w:p>
      <w:pPr>
        <w:pStyle w:val="null3"/>
      </w:pPr>
      <w:r>
        <w:rPr/>
        <w:t>采购包预算金额（元）: 569,978.00</w:t>
      </w:r>
    </w:p>
    <w:p>
      <w:pPr>
        <w:pStyle w:val="null3"/>
      </w:pPr>
      <w:r>
        <w:rPr/>
        <w:t>采购包最高限价（元）: 569,978.00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教室所需设施设备及教师办公设备设施</w:t>
            </w:r>
          </w:p>
        </w:tc>
        <w:tc>
          <w:tcPr>
            <w:tcW w:type="dxa" w:w="831"/>
          </w:tcPr>
          <w:p>
            <w:pPr>
              <w:pStyle w:val="null3"/>
              <w:jc w:val="right"/>
            </w:pPr>
            <w:r>
              <w:rPr/>
              <w:t>1.00</w:t>
            </w:r>
          </w:p>
        </w:tc>
        <w:tc>
          <w:tcPr>
            <w:tcW w:type="dxa" w:w="831"/>
          </w:tcPr>
          <w:p>
            <w:pPr>
              <w:pStyle w:val="null3"/>
              <w:jc w:val="right"/>
            </w:pPr>
            <w:r>
              <w:rPr/>
              <w:t>569,978.00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标的名称：教室所需设施设备及教师办公设备设施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84"/>
              <w:gridCol w:w="284"/>
              <w:gridCol w:w="284"/>
              <w:gridCol w:w="284"/>
              <w:gridCol w:w="284"/>
              <w:gridCol w:w="284"/>
              <w:gridCol w:w="284"/>
              <w:gridCol w:w="284"/>
              <w:gridCol w:w="284"/>
            </w:tblGrid>
            <w:tr>
              <w:tc>
                <w:tcPr>
                  <w:tcW w:type="dxa" w:w="284"/>
                </w:tcPr>
                <w:p>
                  <w:pPr>
                    <w:pStyle w:val="null3"/>
                  </w:pPr>
                  <w:r>
                    <w:rPr/>
                    <w:t>序号</w:t>
                  </w:r>
                </w:p>
              </w:tc>
              <w:tc>
                <w:tcPr>
                  <w:tcW w:type="dxa" w:w="284"/>
                </w:tcPr>
                <w:p>
                  <w:pPr>
                    <w:pStyle w:val="null3"/>
                  </w:pPr>
                  <w:r>
                    <w:rPr/>
                    <w:t>产品名称</w:t>
                  </w:r>
                </w:p>
              </w:tc>
              <w:tc>
                <w:tcPr>
                  <w:tcW w:type="dxa" w:w="284"/>
                </w:tcPr>
                <w:p>
                  <w:pPr>
                    <w:pStyle w:val="null3"/>
                  </w:pPr>
                  <w:r>
                    <w:rPr/>
                    <w:t>参数要求</w:t>
                  </w:r>
                </w:p>
              </w:tc>
              <w:tc>
                <w:tcPr>
                  <w:tcW w:type="dxa" w:w="284"/>
                </w:tcPr>
                <w:p>
                  <w:pPr>
                    <w:pStyle w:val="null3"/>
                  </w:pPr>
                  <w:r>
                    <w:rPr/>
                    <w:t>数量</w:t>
                  </w:r>
                </w:p>
              </w:tc>
              <w:tc>
                <w:tcPr>
                  <w:tcW w:type="dxa" w:w="284"/>
                </w:tcPr>
                <w:p>
                  <w:pPr>
                    <w:pStyle w:val="null3"/>
                  </w:pPr>
                  <w:r>
                    <w:rPr/>
                    <w:t>单位</w:t>
                  </w:r>
                </w:p>
              </w:tc>
              <w:tc>
                <w:tcPr>
                  <w:tcW w:type="dxa" w:w="284"/>
                </w:tcPr>
                <w:p>
                  <w:pPr>
                    <w:pStyle w:val="null3"/>
                  </w:pPr>
                  <w:r>
                    <w:rPr/>
                    <w:t>所属行业</w:t>
                  </w:r>
                </w:p>
              </w:tc>
              <w:tc>
                <w:tcPr>
                  <w:tcW w:type="dxa" w:w="284"/>
                </w:tcPr>
                <w:p>
                  <w:pPr>
                    <w:pStyle w:val="null3"/>
                  </w:pPr>
                  <w:r>
                    <w:rPr/>
                    <w:t>是否核心产品</w:t>
                  </w:r>
                </w:p>
              </w:tc>
              <w:tc>
                <w:tcPr>
                  <w:tcW w:type="dxa" w:w="284"/>
                </w:tcPr>
                <w:p>
                  <w:pPr>
                    <w:pStyle w:val="null3"/>
                  </w:pPr>
                  <w:r>
                    <w:rPr/>
                    <w:t>是否属于强制采购节能产品</w:t>
                  </w:r>
                </w:p>
              </w:tc>
              <w:tc>
                <w:tcPr>
                  <w:tcW w:type="dxa" w:w="284"/>
                </w:tcPr>
                <w:p>
                  <w:pPr>
                    <w:pStyle w:val="null3"/>
                  </w:pPr>
                  <w:r>
                    <w:rPr/>
                    <w:t>是否属于优先采购环境标志产品</w:t>
                  </w:r>
                </w:p>
              </w:tc>
            </w:tr>
            <w:tr>
              <w:tc>
                <w:tcPr>
                  <w:tcW w:type="dxa" w:w="284"/>
                </w:tcPr>
                <w:p>
                  <w:pPr>
                    <w:pStyle w:val="null3"/>
                  </w:pPr>
                  <w:r>
                    <w:rPr/>
                    <w:t>1</w:t>
                  </w:r>
                </w:p>
              </w:tc>
              <w:tc>
                <w:tcPr>
                  <w:tcW w:type="dxa" w:w="284"/>
                </w:tcPr>
                <w:p>
                  <w:pPr>
                    <w:pStyle w:val="null3"/>
                  </w:pPr>
                  <w:r>
                    <w:rPr/>
                    <w:t>办公电脑</w:t>
                  </w:r>
                </w:p>
              </w:tc>
              <w:tc>
                <w:tcPr>
                  <w:tcW w:type="dxa" w:w="284"/>
                </w:tcPr>
                <w:p>
                  <w:pPr>
                    <w:pStyle w:val="null3"/>
                  </w:pPr>
                  <w:r>
                    <w:rPr/>
                    <w:t>1、国产自主品牌</w:t>
                  </w:r>
                </w:p>
                <w:p>
                  <w:pPr>
                    <w:pStyle w:val="null3"/>
                  </w:pPr>
                  <w:r>
                    <w:rPr/>
                    <w:t>2、≥英特尔I5-12450H处理器</w:t>
                  </w:r>
                </w:p>
                <w:p>
                  <w:pPr>
                    <w:pStyle w:val="null3"/>
                  </w:pPr>
                  <w:r>
                    <w:rPr/>
                    <w:t>3、配置≥16GB DDR4内存，配置≥2个内存插槽，支持内存扩展</w:t>
                  </w:r>
                </w:p>
                <w:p>
                  <w:pPr>
                    <w:pStyle w:val="null3"/>
                  </w:pPr>
                  <w:r>
                    <w:rPr/>
                    <w:t>4、配置集成显卡</w:t>
                  </w:r>
                </w:p>
                <w:p>
                  <w:pPr>
                    <w:pStyle w:val="null3"/>
                  </w:pPr>
                  <w:r>
                    <w:rPr/>
                    <w:t>5、≥1TGB M.2 SSD固态硬盘，最支持1块3.5英寸机械硬盘扩展</w:t>
                  </w:r>
                </w:p>
                <w:p>
                  <w:pPr>
                    <w:pStyle w:val="null3"/>
                  </w:pPr>
                  <w:r>
                    <w:rPr/>
                    <w:t>6、支持 Wi-Fi6</w:t>
                  </w:r>
                </w:p>
                <w:p>
                  <w:pPr>
                    <w:pStyle w:val="null3"/>
                  </w:pPr>
                  <w:r>
                    <w:rPr/>
                    <w:t>7、≥2*USB 2.0,≥2*USB 3.2 Gen2,≥1*HDMI OUT，≥1*RJ45,耳麦接囗,≥90W电源接囗</w:t>
                  </w:r>
                </w:p>
                <w:p>
                  <w:pPr>
                    <w:pStyle w:val="null3"/>
                  </w:pPr>
                  <w:r>
                    <w:rPr/>
                    <w:t>8、≥23.8英寸，三面窄边框，96%屏占比，FHD(1920*1080)全高清屏,72%NTSC色域,16:9,250尼特防眩光，TÜV低蓝光、无频闪双重认证</w:t>
                  </w:r>
                </w:p>
                <w:p>
                  <w:pPr>
                    <w:pStyle w:val="null3"/>
                  </w:pPr>
                  <w:r>
                    <w:rPr/>
                    <w:t>9、双降噪麦克风</w:t>
                  </w:r>
                </w:p>
                <w:p>
                  <w:pPr>
                    <w:pStyle w:val="null3"/>
                  </w:pPr>
                  <w:r>
                    <w:rPr/>
                    <w:t>10、哈曼音响系统、杜比音效</w:t>
                  </w:r>
                </w:p>
                <w:p>
                  <w:pPr>
                    <w:pStyle w:val="null3"/>
                  </w:pPr>
                  <w:r>
                    <w:rPr/>
                    <w:t>11、无线键鼠</w:t>
                  </w:r>
                </w:p>
                <w:p>
                  <w:pPr>
                    <w:pStyle w:val="null3"/>
                  </w:pPr>
                  <w:r>
                    <w:rPr/>
                    <w:t>12、适配器≥90W</w:t>
                  </w:r>
                </w:p>
                <w:p>
                  <w:pPr>
                    <w:pStyle w:val="null3"/>
                  </w:pPr>
                  <w:r>
                    <w:rPr/>
                    <w:t>13、■提供原厂授权书及售后承诺书并加盖原厂公章。</w:t>
                  </w:r>
                </w:p>
              </w:tc>
              <w:tc>
                <w:tcPr>
                  <w:tcW w:type="dxa" w:w="284"/>
                </w:tcPr>
                <w:p>
                  <w:pPr>
                    <w:pStyle w:val="null3"/>
                  </w:pPr>
                  <w:r>
                    <w:rPr/>
                    <w:t>20</w:t>
                  </w:r>
                </w:p>
              </w:tc>
              <w:tc>
                <w:tcPr>
                  <w:tcW w:type="dxa" w:w="284"/>
                </w:tcPr>
                <w:p>
                  <w:pPr>
                    <w:pStyle w:val="null3"/>
                  </w:pPr>
                  <w:r>
                    <w:rPr/>
                    <w:t>台</w:t>
                  </w:r>
                </w:p>
              </w:tc>
              <w:tc>
                <w:tcPr>
                  <w:tcW w:type="dxa" w:w="284"/>
                </w:tcPr>
                <w:p>
                  <w:pPr>
                    <w:pStyle w:val="null3"/>
                  </w:pPr>
                  <w:r>
                    <w:rPr/>
                    <w:t>工业</w:t>
                  </w:r>
                </w:p>
              </w:tc>
              <w:tc>
                <w:tcPr>
                  <w:tcW w:type="dxa" w:w="284"/>
                </w:tcPr>
                <w:p>
                  <w:pPr>
                    <w:pStyle w:val="null3"/>
                  </w:pPr>
                  <w:r>
                    <w:rPr/>
                    <w:t>否</w:t>
                  </w:r>
                </w:p>
              </w:tc>
              <w:tc>
                <w:tcPr>
                  <w:tcW w:type="dxa" w:w="284"/>
                </w:tcPr>
                <w:p>
                  <w:pPr>
                    <w:pStyle w:val="null3"/>
                  </w:pPr>
                  <w:r>
                    <w:rPr/>
                    <w:t>是</w:t>
                  </w:r>
                </w:p>
              </w:tc>
              <w:tc>
                <w:tcPr>
                  <w:tcW w:type="dxa" w:w="284"/>
                </w:tcPr>
                <w:p>
                  <w:pPr>
                    <w:pStyle w:val="null3"/>
                  </w:pPr>
                  <w:r>
                    <w:rPr/>
                    <w:t>否</w:t>
                  </w:r>
                </w:p>
              </w:tc>
            </w:tr>
            <w:tr>
              <w:tc>
                <w:tcPr>
                  <w:tcW w:type="dxa" w:w="284"/>
                </w:tcPr>
                <w:p>
                  <w:pPr>
                    <w:pStyle w:val="null3"/>
                  </w:pPr>
                  <w:r>
                    <w:rPr/>
                    <w:t>2</w:t>
                  </w:r>
                </w:p>
              </w:tc>
              <w:tc>
                <w:tcPr>
                  <w:tcW w:type="dxa" w:w="284"/>
                </w:tcPr>
                <w:p>
                  <w:pPr>
                    <w:pStyle w:val="null3"/>
                  </w:pPr>
                  <w:r>
                    <w:rPr/>
                    <w:t>办公桌</w:t>
                  </w:r>
                </w:p>
              </w:tc>
              <w:tc>
                <w:tcPr>
                  <w:tcW w:type="dxa" w:w="284"/>
                </w:tcPr>
                <w:p>
                  <w:pPr>
                    <w:pStyle w:val="null3"/>
                  </w:pPr>
                  <w:r>
                    <w:rPr/>
                    <w:t>会议桌规格长度：1.4米</w:t>
                  </w:r>
                </w:p>
                <w:p>
                  <w:pPr>
                    <w:pStyle w:val="null3"/>
                  </w:pPr>
                  <w:r>
                    <w:rPr/>
                    <w:t>1、基材：中密度纤维板，符合GB/T 11718-2021、GB/T35601-2017、GB/T39600-2021、GB/T18580-2017、QB/T 4371-2012、JC/T 2039-2010标准，苯、甲苯、二甲苯、TVOC未检出，甲醛释放量符合ENF级标准（≤0.025mg/m3)，防霉菌等级0级，抑菌率≥99.94%（测试菌种5种以上）</w:t>
                  </w:r>
                </w:p>
                <w:p>
                  <w:pPr>
                    <w:pStyle w:val="null3"/>
                  </w:pPr>
                  <w:r>
                    <w:rPr/>
                    <w:t>2、饰面：天然实木皮，符合GB/T 13010-2020、GB 18584-2001、QB/T 4371-2012、JC/T 2039-2010 标准，甲醛释放量≤0.01mg/m³，防霉菌等级0级，抑菌率≥99.94%（测试菌种5种以上）</w:t>
                  </w:r>
                </w:p>
                <w:p>
                  <w:pPr>
                    <w:pStyle w:val="null3"/>
                  </w:pPr>
                  <w:r>
                    <w:rPr/>
                    <w:t>3、油漆：优质水性油漆（面漆、底漆），符合GB 18581-2020、GB/T 23999-2009、HJ2537-2014、GB/T 6739-2006标准，游离甲醛含量≤0.01mg/kg，漆膜硬度≥5H</w:t>
                  </w:r>
                </w:p>
                <w:p>
                  <w:pPr>
                    <w:pStyle w:val="null3"/>
                  </w:pPr>
                  <w:r>
                    <w:rPr/>
                    <w:t>4、胶水：优质水性胶粘剂、符合GB18583-2008、HJ 2541-2016标准，游离甲醛未检出，苯未检出，甲苯+二甲苯未检出，总挥发性有机物≤20g/L，卤代烃≤10g/L。</w:t>
                  </w:r>
                </w:p>
                <w:p>
                  <w:pPr>
                    <w:pStyle w:val="null3"/>
                  </w:pPr>
                  <w:r>
                    <w:rPr/>
                    <w:t>5、三合一连接件：GB/T 28203-2011、QB/T 4767-2014、GB/T 1741-2020、QB/T 3828-1999、QB/T3832-1999标准，偏心体抗压强度≥380N、预埋螺母抗拉强度650N、连接螺杆螺纹与预埋螺母抗拉强度840N，偏心体与连接螺杆的扭矩≥15N，金属喷漆(塑)涂层附着力0级、硬度≥6H，防霉菌等级0级，金属表面耐腐蚀铜盐加速乙酸盐雾500h无锈点，镀（涂）层对基体的保护等级10级，镀(涂)层本身的耐腐蚀等级10级。</w:t>
                  </w:r>
                </w:p>
                <w:p>
                  <w:pPr>
                    <w:pStyle w:val="null3"/>
                  </w:pPr>
                  <w:r>
                    <w:rPr/>
                    <w:t>6、锁具：符合QB/T 1621-2015 、QB/T 4371-2012、QB/T 3828-1999、QB/T3832-1999标准，锁舌在承受200N侧向静载荷后，应能正常使用、弹子锁、叶片锁使用寿命≥20000次，抑菌率≥99.94%（测试菌种5种以上），金属表面耐腐蚀铜盐加速乙酸盐雾500h无锈点，镀（涂）层对基体的保护等级10级，镀(涂)层本身的耐腐蚀等级10级。</w:t>
                  </w:r>
                </w:p>
                <w:p>
                  <w:pPr>
                    <w:pStyle w:val="null3"/>
                  </w:pPr>
                  <w:r>
                    <w:rPr/>
                    <w:t>7、缓冲导轨：符合QB/T 2454-2013、QB/T 4767-2014、GB/T 1741-2020、QB/T 3828-1999、QB/T3832-1999标准，抽屈导轨组件底部变形量不应超过内部尺寸(宽度和深度)最窄部分的1/75，下沉量≤抽屈导轨拉出长度4%，耐久性8万次合格，金属喷漆(塑)涂层附着力0级、硬度≥6H，金属表面耐腐蚀铜盐加速乙酸盐雾500h无锈点，镀（涂）层对基体的保护等级10级，镀(涂)层本身的耐腐蚀等级10级</w:t>
                  </w:r>
                </w:p>
                <w:p>
                  <w:pPr>
                    <w:pStyle w:val="null3"/>
                  </w:pPr>
                  <w:r>
                    <w:rPr/>
                    <w:t>8、缓冲铰链：符合QB/T 2189-2013、QB/T 4767-2014、GB/T 1741-2020、QB/T 3828-1999、QB/T3832-1999 标准，垂直静载荷、水平静载荷合格，耐久性8万次合格，防霉菌等级0级，金属喷漆(塑)涂层附着力0级、硬度≥6H，金属表面耐腐蚀铜盐加速乙酸盐雾500h无锈点，镀（涂）层对基体的保护等级10级，镀(涂)层本身的耐腐蚀等级10级</w:t>
                  </w:r>
                </w:p>
                <w:p>
                  <w:pPr>
                    <w:pStyle w:val="null3"/>
                  </w:pPr>
                  <w:r>
                    <w:rPr/>
                    <w:t>9、拉手：符合GB/T3325-2017、QB/T 4767-2014、QB/T 4371-2012、QB/T 3828-1999、QB/T3832-1999标准，抑菌率≥99.94%（测试菌种5种以上），金属喷漆(塑)涂层附着力0级、硬度≥6H，金属表面耐腐蚀铜盐加速乙酸盐雾500h无锈点，镀（涂）层对基体的保护等级10级，镀(涂)层本身的耐腐蚀等级10级</w:t>
                  </w:r>
                </w:p>
              </w:tc>
              <w:tc>
                <w:tcPr>
                  <w:tcW w:type="dxa" w:w="284"/>
                </w:tcPr>
                <w:p>
                  <w:pPr>
                    <w:pStyle w:val="null3"/>
                  </w:pPr>
                  <w:r>
                    <w:rPr/>
                    <w:t>33</w:t>
                  </w:r>
                </w:p>
              </w:tc>
              <w:tc>
                <w:tcPr>
                  <w:tcW w:type="dxa" w:w="284"/>
                </w:tcPr>
                <w:p>
                  <w:pPr>
                    <w:pStyle w:val="null3"/>
                  </w:pPr>
                  <w:r>
                    <w:rPr/>
                    <w:t>张</w:t>
                  </w:r>
                </w:p>
              </w:tc>
              <w:tc>
                <w:tcPr>
                  <w:tcW w:type="dxa" w:w="284"/>
                </w:tcPr>
                <w:p>
                  <w:pPr>
                    <w:pStyle w:val="null3"/>
                  </w:pPr>
                  <w:r>
                    <w:rPr/>
                    <w:t>工业</w:t>
                  </w:r>
                </w:p>
              </w:tc>
              <w:tc>
                <w:tcPr>
                  <w:tcW w:type="dxa" w:w="284"/>
                </w:tcPr>
                <w:p>
                  <w:pPr>
                    <w:pStyle w:val="null3"/>
                  </w:pPr>
                  <w:r>
                    <w:rPr/>
                    <w:t>否</w:t>
                  </w:r>
                </w:p>
              </w:tc>
              <w:tc>
                <w:tcPr>
                  <w:tcW w:type="dxa" w:w="284"/>
                </w:tcPr>
                <w:p>
                  <w:pPr>
                    <w:pStyle w:val="null3"/>
                  </w:pPr>
                  <w:r>
                    <w:rPr/>
                    <w:t>否</w:t>
                  </w:r>
                </w:p>
              </w:tc>
              <w:tc>
                <w:tcPr>
                  <w:tcW w:type="dxa" w:w="284"/>
                </w:tcPr>
                <w:p>
                  <w:pPr>
                    <w:pStyle w:val="null3"/>
                  </w:pPr>
                  <w:r>
                    <w:rPr/>
                    <w:t>是</w:t>
                  </w:r>
                </w:p>
              </w:tc>
            </w:tr>
            <w:tr>
              <w:tc>
                <w:tcPr>
                  <w:tcW w:type="dxa" w:w="284"/>
                </w:tcPr>
                <w:p>
                  <w:pPr>
                    <w:pStyle w:val="null3"/>
                  </w:pPr>
                  <w:r>
                    <w:rPr/>
                    <w:t>3</w:t>
                  </w:r>
                </w:p>
              </w:tc>
              <w:tc>
                <w:tcPr>
                  <w:tcW w:type="dxa" w:w="284"/>
                </w:tcPr>
                <w:p>
                  <w:pPr>
                    <w:pStyle w:val="null3"/>
                  </w:pPr>
                  <w:r>
                    <w:rPr/>
                    <w:t>教学桌椅</w:t>
                  </w:r>
                </w:p>
              </w:tc>
              <w:tc>
                <w:tcPr>
                  <w:tcW w:type="dxa" w:w="284"/>
                </w:tcPr>
                <w:p>
                  <w:pPr>
                    <w:pStyle w:val="null3"/>
                  </w:pPr>
                  <w:r>
                    <w:rPr/>
                    <w:t>1．课桌：规格尺寸≥600×400×（700-760）mm</w:t>
                  </w:r>
                </w:p>
                <w:p>
                  <w:pPr>
                    <w:pStyle w:val="null3"/>
                  </w:pPr>
                  <w:r>
                    <w:rPr/>
                    <w:t>2．▲桌面：采用≥600×400×18mm</w:t>
                  </w:r>
                </w:p>
                <w:p>
                  <w:pPr>
                    <w:pStyle w:val="null3"/>
                  </w:pPr>
                  <w:r>
                    <w:rPr/>
                    <w:t>3．桌面注塑包边，桌面带笔槽，四角为圆角。</w:t>
                  </w:r>
                </w:p>
                <w:p>
                  <w:pPr>
                    <w:pStyle w:val="null3"/>
                  </w:pPr>
                  <w:r>
                    <w:rPr/>
                    <w:t>4．书斗：规格为：450*300*150mm采用冷轧钢板一次性冲压成型，表面经过抛压除锈静电喷塑。</w:t>
                  </w:r>
                </w:p>
                <w:p>
                  <w:pPr>
                    <w:pStyle w:val="null3"/>
                  </w:pPr>
                  <w:r>
                    <w:rPr/>
                    <w:t>5．桌腿：外桌腿采用≥30×60×1.2㎜椭圆焊管，内桌腿材料为≥20×50×1.2mm椭圆焊管。</w:t>
                  </w:r>
                </w:p>
                <w:p>
                  <w:pPr>
                    <w:pStyle w:val="null3"/>
                  </w:pPr>
                  <w:r>
                    <w:rPr/>
                    <w:t>6．书包挂架：课桌两侧各带一个书包挂架。</w:t>
                  </w:r>
                </w:p>
                <w:p>
                  <w:pPr>
                    <w:pStyle w:val="null3"/>
                  </w:pPr>
                  <w:r>
                    <w:rPr/>
                    <w:t>7．椅子规格：≥高750*宽400*深350mm</w:t>
                  </w:r>
                </w:p>
                <w:p>
                  <w:pPr>
                    <w:pStyle w:val="null3"/>
                  </w:pPr>
                  <w:r>
                    <w:rPr/>
                    <w:t>8．椅腿：外管材料≥60×30×1.2mm椭圆焊管，内管材料为20×50×1.2㎜椭圆焊管；凳下横拉档材料20*50×1.2㎜椭圆焊管。</w:t>
                  </w:r>
                </w:p>
                <w:p>
                  <w:pPr>
                    <w:pStyle w:val="null3"/>
                  </w:pPr>
                  <w:r>
                    <w:rPr/>
                    <w:t>9．▲椅面、靠背：材质采用≥18mm，板材环保等级达到E1级密度板注塑封边。</w:t>
                  </w:r>
                </w:p>
                <w:p>
                  <w:pPr>
                    <w:pStyle w:val="null3"/>
                  </w:pPr>
                  <w:r>
                    <w:rPr/>
                    <w:t>10．桌椅脚套：采用环保PP工程塑料，内外双堵不易脱落。</w:t>
                  </w:r>
                </w:p>
                <w:p>
                  <w:pPr>
                    <w:pStyle w:val="null3"/>
                  </w:pPr>
                  <w:r>
                    <w:rPr/>
                    <w:t>焊接及表面处理：产品焊接采用CO2气体保护焊，要求焊缝均匀、焊点平滑、连接牢固、无脱焊、虚焊、飞溅等现象，钢制部分表面处理经除油、酸洗、磷化、防腐、除锈、喷涂处理；</w:t>
                  </w:r>
                </w:p>
              </w:tc>
              <w:tc>
                <w:tcPr>
                  <w:tcW w:type="dxa" w:w="284"/>
                </w:tcPr>
                <w:p>
                  <w:pPr>
                    <w:pStyle w:val="null3"/>
                  </w:pPr>
                  <w:r>
                    <w:rPr/>
                    <w:t>350</w:t>
                  </w:r>
                </w:p>
              </w:tc>
              <w:tc>
                <w:tcPr>
                  <w:tcW w:type="dxa" w:w="284"/>
                </w:tcPr>
                <w:p>
                  <w:pPr>
                    <w:pStyle w:val="null3"/>
                  </w:pPr>
                  <w:r>
                    <w:rPr/>
                    <w:t>套</w:t>
                  </w:r>
                </w:p>
              </w:tc>
              <w:tc>
                <w:tcPr>
                  <w:tcW w:type="dxa" w:w="284"/>
                </w:tcPr>
                <w:p>
                  <w:pPr>
                    <w:pStyle w:val="null3"/>
                  </w:pPr>
                  <w:r>
                    <w:rPr/>
                    <w:t>工业</w:t>
                  </w:r>
                </w:p>
              </w:tc>
              <w:tc>
                <w:tcPr>
                  <w:tcW w:type="dxa" w:w="284"/>
                </w:tcPr>
                <w:p>
                  <w:pPr>
                    <w:pStyle w:val="null3"/>
                  </w:pPr>
                  <w:r>
                    <w:rPr/>
                    <w:t>否</w:t>
                  </w:r>
                </w:p>
              </w:tc>
              <w:tc>
                <w:tcPr>
                  <w:tcW w:type="dxa" w:w="284"/>
                </w:tcPr>
                <w:p>
                  <w:pPr>
                    <w:pStyle w:val="null3"/>
                  </w:pPr>
                  <w:r>
                    <w:rPr/>
                    <w:t>否</w:t>
                  </w:r>
                </w:p>
              </w:tc>
              <w:tc>
                <w:tcPr>
                  <w:tcW w:type="dxa" w:w="284"/>
                </w:tcPr>
                <w:p>
                  <w:pPr>
                    <w:pStyle w:val="null3"/>
                  </w:pPr>
                  <w:r>
                    <w:rPr/>
                    <w:t>是</w:t>
                  </w:r>
                </w:p>
              </w:tc>
            </w:tr>
            <w:tr>
              <w:tc>
                <w:tcPr>
                  <w:tcW w:type="dxa" w:w="284"/>
                </w:tcPr>
                <w:p>
                  <w:pPr>
                    <w:pStyle w:val="null3"/>
                  </w:pPr>
                  <w:r>
                    <w:rPr/>
                    <w:t>4</w:t>
                  </w:r>
                </w:p>
              </w:tc>
              <w:tc>
                <w:tcPr>
                  <w:tcW w:type="dxa" w:w="284"/>
                </w:tcPr>
                <w:p>
                  <w:pPr>
                    <w:pStyle w:val="null3"/>
                  </w:pPr>
                  <w:r>
                    <w:rPr/>
                    <w:t>智慧一体机（带黑板及视频展台）</w:t>
                  </w:r>
                </w:p>
              </w:tc>
              <w:tc>
                <w:tcPr>
                  <w:tcW w:type="dxa" w:w="284"/>
                </w:tcPr>
                <w:p>
                  <w:pPr>
                    <w:pStyle w:val="null3"/>
                  </w:pPr>
                  <w:r>
                    <w:rPr/>
                    <w:t>一、整机设计</w:t>
                  </w:r>
                  <w:r>
                    <w:br/>
                  </w:r>
                  <w:r>
                    <w:rPr/>
                    <w:t xml:space="preserve"> 1.设备采用全金属外壳，三拼接平面一体化设计，屏幕边缘采用圆角包边防护，整机背板采用金属材质，整体尺寸：宽≥4200mm，高≥1200mm。</w:t>
                  </w:r>
                  <w:r>
                    <w:br/>
                  </w:r>
                  <w:r>
                    <w:rPr/>
                    <w:t xml:space="preserve"> 2.设备采用86寸超高清LED液晶显示屏，显示比例16:9，分辨率3840×2160。整机中间主屏及两侧副屏支持多种媒介进行板书书写。</w:t>
                  </w:r>
                  <w:r>
                    <w:br/>
                  </w:r>
                  <w:r>
                    <w:rPr/>
                    <w:t xml:space="preserve"> 3.支持在Windows及Android系统中进行40点或以上触控。</w:t>
                  </w:r>
                  <w:r>
                    <w:br/>
                  </w:r>
                  <w:r>
                    <w:rPr/>
                    <w:t xml:space="preserve"> 4.屏幕显示灰度分辨等级达到256灰阶或以上。</w:t>
                  </w:r>
                  <w:r>
                    <w:br/>
                  </w:r>
                  <w:r>
                    <w:rPr/>
                    <w:t xml:space="preserve"> 二、音视频系统</w:t>
                  </w:r>
                  <w:r>
                    <w:br/>
                  </w:r>
                  <w:r>
                    <w:rPr/>
                    <w:t xml:space="preserve"> 5.设备内置2.2声道扬声器，位于整机上边框，顶置发声，≥2个10W前朝向高音扬声器，≥2个20W上朝向中低音扬声器2个，额定总功率≥60W。</w:t>
                  </w:r>
                  <w:r>
                    <w:br/>
                  </w:r>
                  <w:r>
                    <w:rPr/>
                    <w:t xml:space="preserve"> 6.设备可设置高级音效，可在左右声道平衡显示范围中更改；中低频段调节范围125Hz～1KHz，高频段调节范围 2KHz～16KHz，分贝显示-10dB～10dB 调节范围。</w:t>
                  </w:r>
                  <w:r>
                    <w:br/>
                  </w:r>
                  <w:r>
                    <w:rPr/>
                    <w:t xml:space="preserve"> 7.设备扬声器采用缝隙发声技术，喇叭采用槽式开口设计。</w:t>
                  </w:r>
                  <w:r>
                    <w:br/>
                  </w:r>
                  <w:r>
                    <w:rPr/>
                    <w:t xml:space="preserve"> 8.▲设备支持标准、听力、空间感知等音效模式，空间感知音效模式可通过麦克风采集教室环境声音，生成符合当前教室环境的频段、音量、音效。</w:t>
                  </w:r>
                  <w:r>
                    <w:br/>
                  </w:r>
                  <w:r>
                    <w:rPr/>
                    <w:t xml:space="preserve"> 9.▲设备具备不超过6个前置按键，避免过多按键造成老师操作不便，可设置按键为自定义功能，包括批注、截屏、放大镜、节能模式等。</w:t>
                  </w:r>
                  <w:r>
                    <w:br/>
                  </w:r>
                  <w:r>
                    <w:rPr/>
                    <w:t xml:space="preserve"> 10.设备内置非独立外扩展的8阵列麦克风，拾音角度≥180°，拾音距离≥12m。</w:t>
                  </w:r>
                  <w:r>
                    <w:br/>
                  </w:r>
                  <w:r>
                    <w:rPr/>
                    <w:t xml:space="preserve"> 11.设备支持色彩空间选择，包含标准和sRGB两种模式，在sRGB模式下可做到高色准△E≤1.2。</w:t>
                  </w:r>
                  <w:r>
                    <w:br/>
                  </w:r>
                  <w:r>
                    <w:rPr/>
                    <w:t xml:space="preserve"> 12.支持自定义图像设置，可对屏幕色温、图像亮度、亮度范围、对比度等进行设置。</w:t>
                  </w:r>
                  <w:r>
                    <w:br/>
                  </w:r>
                  <w:r>
                    <w:rPr/>
                    <w:t xml:space="preserve"> 13.屏幕背光采用DC调光方式，系统支持多级亮度调节，支持白颜色背景下最暗亮度≤100nit。</w:t>
                  </w:r>
                  <w:r>
                    <w:br/>
                  </w:r>
                  <w:r>
                    <w:rPr/>
                    <w:t xml:space="preserve"> 14.在安卓通道下可根据屏幕内容自动调节画质参数，当出现人物、建筑等元素时，自动调整对比度、饱和度、色调色相值、高光等。</w:t>
                  </w:r>
                  <w:r>
                    <w:br/>
                  </w:r>
                  <w:r>
                    <w:rPr/>
                    <w:t xml:space="preserve"> 15.设备采用硬件低蓝光背光技术，在源头减少有害蓝光波段能量，蓝光占比＜50%，低蓝光保护显示不偏色、不泛黄。</w:t>
                  </w:r>
                  <w:r>
                    <w:br/>
                  </w:r>
                  <w:r>
                    <w:rPr/>
                    <w:t xml:space="preserve"> 16.设备支持设置类纸质护眼显示，可实现纹理调整，同时画面各像素点灰度不规则，支持纸质的纹理有：牛皮纸、素描纸、水彩纸、水纹纸；支持透明度调节，支持色温调节。</w:t>
                  </w:r>
                  <w:r>
                    <w:br/>
                  </w:r>
                  <w:r>
                    <w:rPr/>
                    <w:t xml:space="preserve"> 三、整机功能</w:t>
                  </w:r>
                  <w:r>
                    <w:br/>
                  </w:r>
                  <w:r>
                    <w:rPr/>
                    <w:t xml:space="preserve"> 17.设备内置非独立摄像头，采用一体化集成设计，摄像头数量≥3个，视场角≥140度，可拍摄生成≥1600万像素的照片。</w:t>
                  </w:r>
                  <w:r>
                    <w:br/>
                  </w:r>
                  <w:r>
                    <w:rPr/>
                    <w:t xml:space="preserve"> 18.可同时输出至少 3 路视频流，支持课堂远程巡课、课堂教学数据采集、本地画面预览。</w:t>
                  </w:r>
                  <w:r>
                    <w:br/>
                  </w:r>
                  <w:r>
                    <w:rPr/>
                    <w:t xml:space="preserve"> 19.▲摄像头支持人脸识别，可识别所有学生，显示标记，然后随机抽选，同时显示标记不少于55人。且支持通过识别教师人脸进行登录账号。</w:t>
                  </w:r>
                  <w:r>
                    <w:br/>
                  </w:r>
                  <w:r>
                    <w:rPr/>
                    <w:t xml:space="preserve"> 20.内置摄像头支持 3D 降噪算法和数字宽动态范围成像WDR 技术，支持输出 MJPG、 H.264 视频格式。</w:t>
                  </w:r>
                  <w:r>
                    <w:br/>
                  </w:r>
                  <w:r>
                    <w:rPr/>
                    <w:t xml:space="preserve"> 21.摄像头支持环境色温判断，根据环境调节合适的显示图像效果。</w:t>
                  </w:r>
                  <w:r>
                    <w:br/>
                  </w:r>
                  <w:r>
                    <w:rPr/>
                    <w:t xml:space="preserve"> 22.设备支持提笔书写，在Windows系统下，当检测到笔尖接触屏幕时，自动进入书写模式，无需点击任何功能设置。</w:t>
                  </w:r>
                  <w:r>
                    <w:br/>
                  </w:r>
                  <w:r>
                    <w:rPr/>
                    <w:t xml:space="preserve"> 23.设备触摸支持动态压力感应，支持无电子功能的书写笔书写或点压时，屏幕能感应压力变化，书写或点压过程的笔迹呈现粗细变化。</w:t>
                  </w:r>
                  <w:r>
                    <w:br/>
                  </w:r>
                  <w:r>
                    <w:rPr/>
                    <w:t xml:space="preserve"> 24.设备书写触控延迟≤25ms，支持同一支笔的笔头、笔尾可书写不同的颜色。</w:t>
                  </w:r>
                  <w:r>
                    <w:br/>
                  </w:r>
                  <w:r>
                    <w:rPr/>
                    <w:t xml:space="preserve"> 25.设备支持手笔分离，通过提笔书写打开批注功能后，可手笔分离，使用笔正常书写的同时，可使用手进行点击操作。</w:t>
                  </w:r>
                  <w:r>
                    <w:br/>
                  </w:r>
                  <w:r>
                    <w:rPr/>
                    <w:t xml:space="preserve"> 26.设备内置双WiFi6无线网卡，在Android和Windows系统下，可实现Wi-Fi无线上网连接、AP无线热点发射。</w:t>
                  </w:r>
                  <w:r>
                    <w:br/>
                  </w:r>
                  <w:r>
                    <w:rPr/>
                    <w:t xml:space="preserve"> 27.设备支持蓝牙Bluetooth 5.4标准。</w:t>
                  </w:r>
                  <w:r>
                    <w:br/>
                  </w:r>
                  <w:r>
                    <w:rPr/>
                    <w:t xml:space="preserve"> 28.手机投屏支持智能手机与整机无需在同一局域网内，可实现配对，一键投屏，无需输入投屏码或扫码获取投屏码。</w:t>
                  </w:r>
                  <w:r>
                    <w:br/>
                  </w:r>
                  <w:r>
                    <w:rPr/>
                    <w:t xml:space="preserve"> 29.Windows通道可进行文件传输应用，可通过扫码、wifi直联、超声波等方式与手机进行连接，实现文件传输功能。</w:t>
                  </w:r>
                  <w:r>
                    <w:br/>
                  </w:r>
                  <w:r>
                    <w:rPr/>
                    <w:t xml:space="preserve"> 30.设备关机状态下，长按电源键进入菜单，可点击屏幕选择故障检测、系统还原功能，系统还原可单独还原PC系统或单独还原设备整机系统。</w:t>
                  </w:r>
                  <w:r>
                    <w:br/>
                  </w:r>
                  <w:r>
                    <w:rPr/>
                    <w:t xml:space="preserve"> 31.设备全通道侧边栏可以展示学校名称、班级、场地信息等内容。</w:t>
                  </w:r>
                  <w:r>
                    <w:br/>
                  </w:r>
                  <w:r>
                    <w:rPr/>
                    <w:t xml:space="preserve"> 32.设备内置触摸中控菜单，可查看正在运行的应用，支持应用切换，在全屏应用下无需退出全屏应用即可进行切换。</w:t>
                  </w:r>
                  <w:r>
                    <w:br/>
                  </w:r>
                  <w:r>
                    <w:rPr/>
                    <w:t xml:space="preserve"> 33.▲设备开机后，可直接进入教学桌面，设置账号的登录及退出，自动获取云端课件，并可进入全部课件列表。</w:t>
                  </w:r>
                  <w:r>
                    <w:br/>
                  </w:r>
                  <w:r>
                    <w:rPr/>
                    <w:t xml:space="preserve"> 34.▲设备支持通过扫描二维码加入班级，由老师设置题型，学生提交回答后，老师可查看正确率，并支持导出报告。</w:t>
                  </w:r>
                  <w:r>
                    <w:br/>
                  </w:r>
                  <w:r>
                    <w:rPr/>
                    <w:t xml:space="preserve"> 35.设备支持通过侧边栏调取软键盘。</w:t>
                  </w:r>
                  <w:r>
                    <w:br/>
                  </w:r>
                  <w:r>
                    <w:rPr/>
                    <w:t xml:space="preserve"> 四、安卓系统</w:t>
                  </w:r>
                  <w:r>
                    <w:br/>
                  </w:r>
                  <w:r>
                    <w:rPr/>
                    <w:t xml:space="preserve"> 36.安卓系统版本不低于Android 13.0。</w:t>
                  </w:r>
                  <w:r>
                    <w:br/>
                  </w:r>
                  <w:r>
                    <w:rPr/>
                    <w:t xml:space="preserve"> 37.安卓系统下，互动白板支持对已经书写的笔迹和形状的颜色进行更换。</w:t>
                  </w:r>
                  <w:r>
                    <w:br/>
                  </w:r>
                  <w:r>
                    <w:rPr/>
                    <w:t xml:space="preserve"> 安卓系统下，能对TV多媒体USB所读取到的文件进行自动归类，可分类查找文档、图片、音视频等，检索后可直接在界面中打开。</w:t>
                  </w:r>
                  <w:r>
                    <w:br/>
                  </w:r>
                  <w:r>
                    <w:rPr/>
                    <w:t xml:space="preserve"> 五、内置电脑</w:t>
                  </w:r>
                  <w:r>
                    <w:br/>
                  </w:r>
                  <w:r>
                    <w:rPr/>
                    <w:t xml:space="preserve"> 1.采用抽拉内置式模块化电脑，抽拉内置式，PC模块可插入整机，可实现无单独接线的插拔。按压式卡扣方式，无需工具即可快速拆卸电脑模块。</w:t>
                  </w:r>
                  <w:r>
                    <w:br/>
                  </w:r>
                  <w:r>
                    <w:rPr/>
                    <w:t xml:space="preserve"> 2.搭载Intel酷睿 i5或以上配置CPU。内存：8 GB DDR4笔记本内存或以上配置。硬盘：256GB SSD固态硬盘或以上配置。</w:t>
                  </w:r>
                  <w:r>
                    <w:br/>
                  </w:r>
                  <w:r>
                    <w:rPr/>
                    <w:t xml:space="preserve"> 3.设备具备供电保护模块，可检测内置电脑是否插好，如内置电脑未查好情况下，内置电脑无法上电工作。</w:t>
                  </w:r>
                  <w:r>
                    <w:br/>
                  </w:r>
                  <w:r>
                    <w:rPr/>
                    <w:t xml:space="preserve"> 六、白板软件</w:t>
                  </w:r>
                  <w:r>
                    <w:br/>
                  </w:r>
                  <w:r>
                    <w:rPr/>
                    <w:t xml:space="preserve"> 1.软件采用备授课结合，操作界面根据备课和授课使用场景不同而区别设计，满足教师被授课使用。</w:t>
                  </w:r>
                  <w:r>
                    <w:br/>
                  </w:r>
                  <w:r>
                    <w:rPr/>
                    <w:t xml:space="preserve"> 2.白板软件支持云课件功能，可云同步、云存储，老师可在任意教室登录获取课件，无需U盘存储；支持白板软件最小化。</w:t>
                  </w:r>
                  <w:r>
                    <w:br/>
                  </w:r>
                  <w:r>
                    <w:rPr/>
                    <w:t xml:space="preserve"> 3.软件菜单功能按钮/图标配备明确中文标识，并 支持开启或关闭，满足不同老师的使用习惯。</w:t>
                  </w:r>
                  <w:r>
                    <w:br/>
                  </w:r>
                  <w:r>
                    <w:rPr/>
                    <w:t xml:space="preserve"> 4.支持数学函数图像绘制功能，包含一次函数、二次函数、幂函数、指数函数、对数函数、三角函数等，可显示坐标网格，函数图生成后可重新编辑，支持输入函数表达式后，即时生成对应的函数图像，软件自带专业函数输入键盘，包含数学学科常用的各类函数符号，具有sin、cos、tan、log符号等。</w:t>
                  </w:r>
                  <w:r>
                    <w:br/>
                  </w:r>
                  <w:r>
                    <w:rPr/>
                    <w:t xml:space="preserve"> 5.软件支持分学科的模式设定，包含语文、数学、 英语、物理、化学、生物、历史、地理、道德与法治、科学、音乐、美术、体育、信息等14类学科设定，每个学科的教学内容均归类在独立的学科内容中，适应教学的实际需要。</w:t>
                  </w:r>
                  <w:r>
                    <w:br/>
                  </w:r>
                  <w:r>
                    <w:rPr/>
                    <w:t xml:space="preserve"> 7.为教师提供可扩展，易于学校管理，安全可靠的 云存储空间，根据每名教师使用时长与教学资料制作频率提供可扩展升级至不小于500G的个人云 空间，无需用户通过完成特定任务才能获取。需提供相关证明材料（包括但不限于检测报告、官网截图和功能截图），加盖厂家公章。</w:t>
                  </w:r>
                  <w:r>
                    <w:br/>
                  </w:r>
                  <w:r>
                    <w:rPr/>
                    <w:t xml:space="preserve"> 8.软件支持白板书写内容导出，格式支持PDF、图片等格式；教师对应课件支持二维码分享，学生可通过扫描二维码带走课件内容。</w:t>
                  </w:r>
                  <w:r>
                    <w:br/>
                  </w:r>
                  <w:r>
                    <w:rPr/>
                    <w:t xml:space="preserve"> 9. 系统支持多种类活动项目，比如对比、竞赛、选词填空等，老师可以根据使用习惯一键生成对应游戏，方便教学使用。</w:t>
                  </w:r>
                  <w:r>
                    <w:br/>
                  </w:r>
                  <w:r>
                    <w:rPr/>
                    <w:t xml:space="preserve"> 10.物理实验包含教学中常用的实验内容不少于50个，支持初中、高中不同年级学段，方便日常上课使用。</w:t>
                  </w:r>
                  <w:r>
                    <w:br/>
                  </w:r>
                  <w:r>
                    <w:rPr/>
                    <w:t xml:space="preserve"> 11.支持学校校本资源建设，可支持多种类型资源上传，如doc,pdf,ppt,xls等，资源支持按年纪、学科等维度查看。</w:t>
                  </w:r>
                  <w:r>
                    <w:br/>
                  </w:r>
                  <w:r>
                    <w:rPr/>
                    <w:t xml:space="preserve"> 12.微课录制：支持对软件内容进行对应录制，录播内容支持本地保存与云端上传，方便教学使用。</w:t>
                  </w:r>
                  <w:r>
                    <w:br/>
                  </w:r>
                  <w:r>
                    <w:rPr/>
                    <w:t xml:space="preserve"> 13.课件支持4:3、16:9切换，便于对不同页面比例的PPT课件实现全屏展示。</w:t>
                  </w:r>
                  <w:r>
                    <w:br/>
                  </w:r>
                  <w:r>
                    <w:rPr/>
                    <w:t xml:space="preserve"> 14.图形工具：可一键绘制直线、虚线、箭头、正圆形、三角形、四边形、椭圆、平  行四边形 等30种以上图形；绘制任意多边形、五角星、大括号、旗子等特殊图 形；并可对图形颜色填充、阴影、外观、对齐、旋转等操作。</w:t>
                  </w:r>
                  <w:r>
                    <w:br/>
                  </w:r>
                  <w:r>
                    <w:rPr/>
                    <w:t xml:space="preserve"> 15.软件提供的工具菜单简单实用，包含小黑板、截图、录屏、撤销、放大镜、计时器、形状、思维导图、漫游、汉字、拼音、四线三格、插入素材等功能。</w:t>
                  </w:r>
                  <w:r>
                    <w:br/>
                  </w:r>
                  <w:r>
                    <w:rPr/>
                    <w:t xml:space="preserve"> 16.支持对录制的视频文件进行打点，可在进度条任意位 置设置多处开始播放节点，免去复杂的音视频剪辑，方便老师快速定位关键教学内容。</w:t>
                  </w:r>
                  <w:r>
                    <w:br/>
                  </w:r>
                  <w:r>
                    <w:rPr/>
                    <w:t xml:space="preserve"> 17.提供3D立体星球模型，支持360°自由旋转、缩放展示。</w:t>
                  </w:r>
                  <w:r>
                    <w:br/>
                  </w:r>
                  <w:r>
                    <w:rPr/>
                    <w:t xml:space="preserve"> 18.支持对课件内容添加蒙层工具，授课模式下可 通过擦除蒙层展现隐藏内容。</w:t>
                  </w:r>
                  <w:r>
                    <w:br/>
                  </w:r>
                  <w:r>
                    <w:rPr/>
                    <w:t xml:space="preserve"> 七、学生德育评价系统</w:t>
                  </w:r>
                  <w:r>
                    <w:br/>
                  </w:r>
                  <w:r>
                    <w:rPr/>
                    <w:t xml:space="preserve"> 1.学生评价系统支持多种登录方式。</w:t>
                  </w:r>
                  <w:r>
                    <w:br/>
                  </w:r>
                  <w:r>
                    <w:rPr/>
                    <w:t xml:space="preserve"> 2.精准评价分析：教师可通过多终端对学生、小组及班级进行学习行为精准量化评价。可追溯每条评价的原因、对象、分值，实现对学生学习过程行为的复盘。  小组或学生头像装饰根据评价得分情况产生相应变化，电子光荣榜排名实时展示排名前列的学生。以互动方式对学生行为进行正向引导。</w:t>
                  </w:r>
                  <w:r>
                    <w:br/>
                  </w:r>
                  <w:r>
                    <w:rPr/>
                    <w:t xml:space="preserve"> 3.多维综合素质评价：教师可对学生进行多维度综合素质评价，支持自定义点评标签类别及点评内容，可根据学校实际需求量身制定点评量表，对学生进行多维度量化评价。</w:t>
                  </w:r>
                  <w:r>
                    <w:br/>
                  </w:r>
                  <w:r>
                    <w:rPr/>
                    <w:t xml:space="preserve"> 4.校级数据统计：管理系统可汇总查看校内的班级评价排名情况，可以列表形式查看班主任、班级学生数、家长数、班级代码等信息。同时可查看某班某学生的表现行为情况，行为分析精确到个体。</w:t>
                  </w:r>
                  <w:r>
                    <w:br/>
                  </w:r>
                  <w:r>
                    <w:rPr/>
                    <w:t xml:space="preserve"> 5.高效家校沟通：教师可通过精准量化评价记录学生在学校的课堂表现，家长通过家长端应用了解学生表现；对于日常突出表现可以文字评语、图片的形式实时告知家长，强化家校联系。教师可通过系统向家长发送文本、图片、语音、视频和外部网页链接等形式的通知公告，家长以电子回执及信息私聊的方式与教师互动，实现高效家校沟通。</w:t>
                  </w:r>
                  <w:r>
                    <w:br/>
                  </w:r>
                  <w:r>
                    <w:rPr/>
                    <w:t xml:space="preserve"> 6.学生成长档案：学生成长数据按饼状图形式呈现，涵盖学生课堂表现、课堂考勤出勤率等数据，学生成长统计档案支持导出excel格式的班级学生情况清单，也可以单个学生的形式导出pdf格式的成长档案。学生档案可自定义查询周期，持续记录学生成长过程。系统支持以班级为单位智能生成学生日常行为期末综述评价电子报告，生成内容支持教师二次编辑修改并推送至家长端查看。</w:t>
                  </w:r>
                  <w:r>
                    <w:br/>
                  </w:r>
                  <w:r>
                    <w:rPr/>
                    <w:t xml:space="preserve"> 7.校园德育管理：学生行为评价系统支持全角色量化评价，可将全体教职工纳入点评体系，实现对学生学习、生活、行为的无缝记录评价，实现校园德育信息化管理。</w:t>
                  </w:r>
                  <w:r>
                    <w:br/>
                  </w:r>
                  <w:r>
                    <w:rPr/>
                    <w:t xml:space="preserve"> 8.支持对任课教师进行定向邀请，教师入班后可协同对班级学生进行管理评价。1、设备≥800万像素摄像头；采用 USB供电</w:t>
                  </w:r>
                  <w:r>
                    <w:br/>
                  </w:r>
                  <w:r>
                    <w:rPr/>
                    <w:t xml:space="preserve"> 2、支持不小于A4大小拍摄幅面，1080P动态视频预览达到30帧/秒。</w:t>
                  </w:r>
                  <w:r>
                    <w:br/>
                  </w:r>
                  <w:r>
                    <w:rPr/>
                    <w:t xml:space="preserve"> 3、支持展台成像画面实时批注，预设多种笔划供选择。</w:t>
                  </w:r>
                  <w:r>
                    <w:br/>
                  </w:r>
                  <w:r>
                    <w:rPr/>
                    <w:t xml:space="preserve"> 4.具有故障自动检测功能，可自动出现检测链接。</w:t>
                  </w:r>
                  <w:r>
                    <w:br/>
                  </w:r>
                  <w:r>
                    <w:rPr/>
                    <w:t xml:space="preserve"> 5、展示托板正上方具备LED补光灯，适应环境变化。</w:t>
                  </w:r>
                  <w:r>
                    <w:br/>
                  </w:r>
                  <w:r>
                    <w:rPr/>
                    <w:t xml:space="preserve"> 6、外壳在摄像头部分带保护镜片密封，防止灰尘沾染摄像头。</w:t>
                  </w:r>
                </w:p>
                <w:p>
                  <w:pPr>
                    <w:pStyle w:val="null3"/>
                  </w:pPr>
                  <w:r>
                    <w:rPr/>
                    <w:t>■提供原厂授权书及售后承诺书并加盖原厂公章。</w:t>
                  </w:r>
                </w:p>
              </w:tc>
              <w:tc>
                <w:tcPr>
                  <w:tcW w:type="dxa" w:w="284"/>
                </w:tcPr>
                <w:p>
                  <w:pPr>
                    <w:pStyle w:val="null3"/>
                  </w:pPr>
                  <w:r>
                    <w:rPr/>
                    <w:t>8</w:t>
                  </w:r>
                </w:p>
              </w:tc>
              <w:tc>
                <w:tcPr>
                  <w:tcW w:type="dxa" w:w="284"/>
                </w:tcPr>
                <w:p>
                  <w:pPr>
                    <w:pStyle w:val="null3"/>
                  </w:pPr>
                  <w:r>
                    <w:rPr/>
                    <w:t>套</w:t>
                  </w:r>
                </w:p>
              </w:tc>
              <w:tc>
                <w:tcPr>
                  <w:tcW w:type="dxa" w:w="284"/>
                </w:tcPr>
                <w:p>
                  <w:pPr>
                    <w:pStyle w:val="null3"/>
                  </w:pPr>
                  <w:r>
                    <w:rPr/>
                    <w:t>工业</w:t>
                  </w:r>
                </w:p>
              </w:tc>
              <w:tc>
                <w:tcPr>
                  <w:tcW w:type="dxa" w:w="284"/>
                </w:tcPr>
                <w:p>
                  <w:pPr>
                    <w:pStyle w:val="null3"/>
                  </w:pPr>
                  <w:r>
                    <w:rPr/>
                    <w:t>是</w:t>
                  </w:r>
                </w:p>
              </w:tc>
              <w:tc>
                <w:tcPr>
                  <w:tcW w:type="dxa" w:w="284"/>
                </w:tcPr>
                <w:p>
                  <w:pPr>
                    <w:pStyle w:val="null3"/>
                  </w:pPr>
                  <w:r>
                    <w:rPr/>
                    <w:t>是</w:t>
                  </w:r>
                </w:p>
              </w:tc>
              <w:tc>
                <w:tcPr>
                  <w:tcW w:type="dxa" w:w="284"/>
                </w:tcPr>
                <w:p>
                  <w:pPr>
                    <w:pStyle w:val="null3"/>
                  </w:pPr>
                  <w:r>
                    <w:rPr/>
                    <w:t>是</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合同签订后15日历天内完成所有产品的供货、安装及调试</w:t>
      </w:r>
    </w:p>
    <w:p>
      <w:pPr>
        <w:pStyle w:val="null3"/>
        <w:outlineLvl w:val="3"/>
      </w:pPr>
      <w:r>
        <w:rPr>
          <w:sz w:val="24"/>
          <w:b/>
        </w:rPr>
        <w:t>3.4.2交货地点</w:t>
      </w:r>
    </w:p>
    <w:p>
      <w:pPr>
        <w:pStyle w:val="null3"/>
      </w:pPr>
      <w:r>
        <w:rPr/>
        <w:t>采购包1：</w:t>
      </w:r>
    </w:p>
    <w:p>
      <w:pPr>
        <w:pStyle w:val="null3"/>
      </w:pPr>
      <w:r>
        <w:rPr/>
        <w:t>铜川高新实验学校（甲方指定地点）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合同签订后且财政拨款到位</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供货安装验收完成且财政拨款到位</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1、验收交付标准和方法：严格按照采购文件、成交供应商投标文件、铜川市政府采购相关验收规范等相关要求组织验收。 2、验收由采购人相关人员组成的验收小组负责。分为项目初验和项目终验。 3、项目初验：中标供应商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4、项目整体验收：该项目初验合格后，采购人根据使用单位初步验收报告，组织相关人员或专家组成的验收小组对产品进行最终验收。验收所产生的相关费用由中标供应商承担。 4.1中标供应商提供完整的操作手册和安装、调试、维修手册；提供制造厂家的检验测试报告或产品出厂检测报告。 4.2采购人根据合同要求对产品进行验收、确认产品的产地、规格、型号和数量。验收依据为本合同文本、响应文件和国内相应的标准、规范。 5、验收合格后，填写产品验收单，并向采购人提交产品所包含的所有资料，以便使用单位日后管理和维护。 6、在交割以前产品所发生的一切损失及费用由中标供应商承担。性能达到技术要求的，验收通过；验收不合格的，限期整改。 7、如因货物的质量问题发生争议，由采购人属地技术质量监督部门进行质量鉴定；货物符合质量标准的，鉴定费由采购人承担；货物不符合质量标准的，鉴定费由中标供应商承担。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本项目电子软硬件设备质保期不少于1年，其他产品符合行业“三包”规定的质保期。在质保期内，如果发现货物的质量、规格、技术指标等存在与合同有任何一项不符，采购人应在最短时间内，以书面形式向成交供应商提出索赔。 2.全部设备须在质保期提供上门保修服务，设备免费保修期不应低于厂家承诺的保修期限。</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产品或产品质量不能满足合同约定的技术要求，采购人有权终止合同，中标供应商须无条件全额退回采购人已付给中标供应商的货款，并向采购人支付合同总价款百分之十的违约金。并保留追究中标供应商违约责任的权利。 3、时间迟延的，违约方按照每天1‰向对方承担违约责任，延迟30天以上，采购人有权解除合同。产品质量问题违约的，除了按照迟延时间计算违约金外，另可以采取退货、换货等方式，由供方承担一切费用。</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①可提供2023年度经审计的财务报告（包含审计报告和审计报告中所涉及的财务报表和报表附注），②可提供2023年度供应商完整的全套财务报表（应当包括资产负债表、利润表、现金流量表、所有者权益变动表），③可提供截至投标文件提交截止日一年内银行出具的资信证明，④供应商注册时间截至投标文件提交截止日不足一年的，也可提供在工商管理部门备案的公司章程。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w:t>
            </w:r>
          </w:p>
        </w:tc>
        <w:tc>
          <w:tcPr>
            <w:tcW w:type="dxa" w:w="3322"/>
          </w:tcPr>
          <w:p>
            <w:pPr>
              <w:pStyle w:val="null3"/>
            </w:pPr>
            <w:r>
              <w:rPr/>
              <w:t>①可提供2023年度经审计的财务报告（包含审计报告和审计报告中所涉及的财务报表和报表附注），②可提供2023年度供应商完整的全套财务报表（应当包括资产负债表、利润表、现金流量表、所有者权益变动表），③可提供截至投标文件提交截止日一年内银行出具的资信证明，④供应商注册时间截至投标文件提交截止日不足一年的，也可提供在工商管理部门备案的公司章程。</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履约能力的书面声明</w:t>
            </w:r>
          </w:p>
        </w:tc>
        <w:tc>
          <w:tcPr>
            <w:tcW w:type="dxa" w:w="3322"/>
          </w:tcPr>
          <w:p>
            <w:pPr>
              <w:pStyle w:val="null3"/>
            </w:pPr>
            <w:r>
              <w:rPr/>
              <w:t>提供具有履行合同所必需的设备和专业技术能力的书面声明。</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投标文件签章</w:t>
            </w:r>
          </w:p>
        </w:tc>
        <w:tc>
          <w:tcPr>
            <w:tcW w:type="dxa" w:w="3322"/>
          </w:tcPr>
          <w:p>
            <w:pPr>
              <w:pStyle w:val="null3"/>
            </w:pPr>
            <w:r>
              <w:rPr/>
              <w:t>投标文件的签章均符合采购文件要求，且无遗漏。</w:t>
            </w:r>
          </w:p>
        </w:tc>
        <w:tc>
          <w:tcPr>
            <w:tcW w:type="dxa" w:w="1661"/>
          </w:tcPr>
          <w:p>
            <w:pPr>
              <w:pStyle w:val="null3"/>
            </w:pPr>
            <w:r>
              <w:rPr/>
              <w:t>开标一览表 资格证明文件 投标函 标的清单 投标文件封面 分项报价明细表 供应商承诺书 合同文本条款响应</w:t>
            </w:r>
          </w:p>
        </w:tc>
      </w:tr>
      <w:tr>
        <w:tc>
          <w:tcPr>
            <w:tcW w:type="dxa" w:w="831"/>
          </w:tcPr>
          <w:p>
            <w:pPr>
              <w:pStyle w:val="null3"/>
            </w:pPr>
            <w:r>
              <w:rPr/>
              <w:t>3</w:t>
            </w:r>
          </w:p>
        </w:tc>
        <w:tc>
          <w:tcPr>
            <w:tcW w:type="dxa" w:w="2492"/>
          </w:tcPr>
          <w:p>
            <w:pPr>
              <w:pStyle w:val="null3"/>
            </w:pPr>
            <w:r>
              <w:rPr/>
              <w:t>投标文件有效期</w:t>
            </w:r>
          </w:p>
        </w:tc>
        <w:tc>
          <w:tcPr>
            <w:tcW w:type="dxa" w:w="3322"/>
          </w:tcPr>
          <w:p>
            <w:pPr>
              <w:pStyle w:val="null3"/>
            </w:pPr>
            <w:r>
              <w:rPr/>
              <w:t>符合招标文件的要求，且不少于90天</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同时满足以下条款：（1）货币单位符合采购文件要求 ；（2）投标报价符合唯一性要求； （3）未超出采购预算或最高限价 ；（4）符合《开标一览表》、《分项报价明细表》及《标的清单》的填报要求</w:t>
            </w:r>
          </w:p>
        </w:tc>
        <w:tc>
          <w:tcPr>
            <w:tcW w:type="dxa" w:w="1661"/>
          </w:tcPr>
          <w:p>
            <w:pPr>
              <w:pStyle w:val="null3"/>
            </w:pPr>
            <w:r>
              <w:rPr/>
              <w:t>开标一览表 标的清单 分项报价明细表</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完全理解并接受《质量安全责任承诺书》、《拒绝政府采购领域商业贿赂承诺书》。</w:t>
            </w:r>
          </w:p>
        </w:tc>
        <w:tc>
          <w:tcPr>
            <w:tcW w:type="dxa" w:w="1661"/>
          </w:tcPr>
          <w:p>
            <w:pPr>
              <w:pStyle w:val="null3"/>
            </w:pPr>
            <w:r>
              <w:rPr/>
              <w:t>供应商承诺书</w:t>
            </w:r>
          </w:p>
        </w:tc>
      </w:tr>
      <w:tr>
        <w:tc>
          <w:tcPr>
            <w:tcW w:type="dxa" w:w="831"/>
          </w:tcPr>
          <w:p>
            <w:pPr>
              <w:pStyle w:val="null3"/>
            </w:pPr>
            <w:r>
              <w:rPr/>
              <w:t>6</w:t>
            </w:r>
          </w:p>
        </w:tc>
        <w:tc>
          <w:tcPr>
            <w:tcW w:type="dxa" w:w="2492"/>
          </w:tcPr>
          <w:p>
            <w:pPr>
              <w:pStyle w:val="null3"/>
            </w:pPr>
            <w:r>
              <w:rPr/>
              <w:t>实质性条款响应</w:t>
            </w:r>
          </w:p>
        </w:tc>
        <w:tc>
          <w:tcPr>
            <w:tcW w:type="dxa" w:w="3322"/>
          </w:tcPr>
          <w:p>
            <w:pPr>
              <w:pStyle w:val="null3"/>
            </w:pPr>
            <w:r>
              <w:rPr/>
              <w:t>完全理解并接受对合格供应商、合格的货物、工程或服务要求，结合采购文件第三章“招标项目技术、服务、商务要求”的实质性要求且没有负偏离。</w:t>
            </w:r>
          </w:p>
        </w:tc>
        <w:tc>
          <w:tcPr>
            <w:tcW w:type="dxa" w:w="1661"/>
          </w:tcPr>
          <w:p>
            <w:pPr>
              <w:pStyle w:val="null3"/>
            </w:pPr>
            <w:r>
              <w:rPr/>
              <w:t>产品技术参数表 商务应答表</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完全理解并接受招标文件《合同文本》条款的要求，且未有采购人不能接受的附加条件的。</w:t>
            </w:r>
          </w:p>
        </w:tc>
        <w:tc>
          <w:tcPr>
            <w:tcW w:type="dxa" w:w="1661"/>
          </w:tcPr>
          <w:p>
            <w:pPr>
              <w:pStyle w:val="null3"/>
            </w:pPr>
            <w:r>
              <w:rPr/>
              <w:t>投标文件封面</w:t>
            </w:r>
          </w:p>
        </w:tc>
      </w:tr>
      <w:tr>
        <w:tc>
          <w:tcPr>
            <w:tcW w:type="dxa" w:w="831"/>
          </w:tcPr>
          <w:p>
            <w:pPr>
              <w:pStyle w:val="null3"/>
            </w:pPr>
            <w:r>
              <w:rPr/>
              <w:t>8</w:t>
            </w:r>
          </w:p>
        </w:tc>
        <w:tc>
          <w:tcPr>
            <w:tcW w:type="dxa" w:w="2492"/>
          </w:tcPr>
          <w:p>
            <w:pPr>
              <w:pStyle w:val="null3"/>
            </w:pPr>
            <w:r>
              <w:rPr/>
              <w:t>落实节能、环保产品政策</w:t>
            </w:r>
          </w:p>
        </w:tc>
        <w:tc>
          <w:tcPr>
            <w:tcW w:type="dxa" w:w="3322"/>
          </w:tcPr>
          <w:p>
            <w:pPr>
              <w:pStyle w:val="null3"/>
            </w:pPr>
            <w:r>
              <w:rPr/>
              <w:t>符合政府采购强制要求采购的节能产品提供有国家确定的认证机构出具的、处于有效期之内的节能产品认证证书。</w:t>
            </w:r>
          </w:p>
        </w:tc>
        <w:tc>
          <w:tcPr>
            <w:tcW w:type="dxa" w:w="1661"/>
          </w:tcPr>
          <w:p>
            <w:pPr>
              <w:pStyle w:val="null3"/>
            </w:pPr>
            <w:r>
              <w:rPr/>
              <w:t>节能及环保产品认证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技术服务方案</w:t>
            </w:r>
          </w:p>
        </w:tc>
        <w:tc>
          <w:tcPr>
            <w:tcW w:type="dxa" w:w="2492"/>
          </w:tcPr>
          <w:p>
            <w:pPr>
              <w:pStyle w:val="null3"/>
            </w:pPr>
            <w:r>
              <w:rPr/>
              <w:t>根据本项目实际需求及特点，制定技术服务方案，内容包含①供货组织安排②供货进度计划③安装调试及验收方案④物力调配及保障措施。 方案响应高效、服务标准和服务承诺明确具体，方案科学合理详细，针对性强，服务标准严格、服务响应高效、流程清晰易行，服务措施完善，可操作性强得(8-12]分；方案基本合理，服务标准尚且规范、服务响应尚可接受、服务流程较清楚，有一定针对性和可操作性 得（4-8]分；无针对性、语焉不详，可操作性差得[0-4]分]。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应急保障方案</w:t>
            </w:r>
          </w:p>
        </w:tc>
        <w:tc>
          <w:tcPr>
            <w:tcW w:type="dxa" w:w="2492"/>
          </w:tcPr>
          <w:p>
            <w:pPr>
              <w:pStyle w:val="null3"/>
            </w:pPr>
            <w:r>
              <w:rPr/>
              <w:t>供应商针对本项目提供完善合理的应急保障方案，包括但不限于进度延误、出现质量问题时的补救措施等。 供应商提供的应急方案，内容详尽、描述清晰、且应急保障方案与该项目要求贴合度高得(3-4]分； 提供的应急方案，内容较详尽、描述较清晰、且应急保障方案与该项目有部分贴合度得（1-3]分； 提供的应急方案，内容、描述不清晰、不合理[0-1]分。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技术培训措施</w:t>
            </w:r>
          </w:p>
        </w:tc>
        <w:tc>
          <w:tcPr>
            <w:tcW w:type="dxa" w:w="2492"/>
          </w:tcPr>
          <w:p>
            <w:pPr>
              <w:pStyle w:val="null3"/>
            </w:pPr>
            <w:r>
              <w:rPr/>
              <w:t>为使用单位培训操作维护人员，保证熟练操作、维护和正常使用，并有详细可行的技术培训措施。完全满足项目实际需求得5分，基本满足项目需求得(3-5）分，基本满足但完整性和可操作性欠缺得(1-3]分，不满足项目需求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售后服务措施及承诺</w:t>
            </w:r>
          </w:p>
        </w:tc>
        <w:tc>
          <w:tcPr>
            <w:tcW w:type="dxa" w:w="2492"/>
          </w:tcPr>
          <w:p>
            <w:pPr>
              <w:pStyle w:val="null3"/>
            </w:pPr>
            <w:r>
              <w:rPr/>
              <w:t>供应商具有详细的售后服务措施及承诺，完全满足项目实际需求得5分，基本满足项目需求得(3-5）分，基本满足但完整性和可操作性欠缺得(1-3]分，不满足项目需求得[0-1]分。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质保服务及承诺</w:t>
            </w:r>
          </w:p>
        </w:tc>
        <w:tc>
          <w:tcPr>
            <w:tcW w:type="dxa" w:w="2492"/>
          </w:tcPr>
          <w:p>
            <w:pPr>
              <w:pStyle w:val="null3"/>
            </w:pPr>
            <w:r>
              <w:rPr/>
              <w:t>响应文件包含对本项目质量保障，后期维护管理及发生质量问题后的补救措施，有明确具体的承诺，切实可行。根据响应情况赋分，完全满足项目实际需求得5分，基本满足项目需求得(3-5）分，基本满足但完整性和可操作性欠缺得(1-3]分，不满足项目需求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类似业绩</w:t>
            </w:r>
          </w:p>
        </w:tc>
        <w:tc>
          <w:tcPr>
            <w:tcW w:type="dxa" w:w="2492"/>
          </w:tcPr>
          <w:p>
            <w:pPr>
              <w:pStyle w:val="null3"/>
            </w:pPr>
            <w:r>
              <w:rPr/>
              <w:t>提供 2021 年 1 月 1 日以来的类似项目供货业绩（以合同签订日期为准，合同类型为信息化电子设备、办公家具、教学教具等供货合同），每份合格业绩合同计2.5分，满分10分。提供完整业绩合同，并加盖供应商公章。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类似项目业绩汇总表</w:t>
            </w:r>
          </w:p>
        </w:tc>
      </w:tr>
      <w:tr>
        <w:tc>
          <w:tcPr>
            <w:tcW w:type="dxa" w:w="831"/>
            <w:vMerge/>
          </w:tcPr>
          <w:p/>
        </w:tc>
        <w:tc>
          <w:tcPr>
            <w:tcW w:type="dxa" w:w="1661"/>
          </w:tcPr>
          <w:p>
            <w:pPr>
              <w:pStyle w:val="null3"/>
            </w:pPr>
            <w:r>
              <w:rPr/>
              <w:t>技术参数或功能</w:t>
            </w:r>
          </w:p>
        </w:tc>
        <w:tc>
          <w:tcPr>
            <w:tcW w:type="dxa" w:w="2492"/>
          </w:tcPr>
          <w:p>
            <w:pPr>
              <w:pStyle w:val="null3"/>
            </w:pPr>
            <w:r>
              <w:rPr/>
              <w:t>所投产品技术参数或功能清楚、明确并能逐条响应采购文件。 “技术参数表”标记为▲的参数或功能完全满足采购要求，得满分，每有1项不满足、无法提供佐证材料或有负偏离的扣3分，扣完为止。 证明材料：包括但不限于检验试验报告、测试报告、科技查新报告、质量证明书、功能截图、官网截图、产品宣传彩页等能说明产品功能或技术参数等的文件扫描件并加盖供应商公章。</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原厂授权书及售后承诺书</w:t>
            </w:r>
          </w:p>
        </w:tc>
        <w:tc>
          <w:tcPr>
            <w:tcW w:type="dxa" w:w="2492"/>
          </w:tcPr>
          <w:p>
            <w:pPr>
              <w:pStyle w:val="null3"/>
            </w:pPr>
            <w:r>
              <w:rPr/>
              <w:t>货源渠道正规、供应充足，产地及制造商明确，产品销售记录可追溯。所投产品（标记为“■”产品）能够提供合格有效的授权文件，每个得2分；能提供原厂售后承诺书并加盖厂商公章，每个得2分，满分8分。未提供不得分。 证明材料：提供生产厂商出具的授权函（如为厂商参与投标的，须提供相关证明或承诺）及售后承诺书原件扫描件并加盖供应商公章。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原厂授权书及售后承诺书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有效供应商的（落实政府采购政策进行价格调整的，以调整后的价格计算）最终报价的最低值为基准价得 30 分，其他各供应商的最终报价得分按下列公式计算：（基准价/最终报价）×30％×100。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详见附件：分项报价明细表</w:t>
      </w:r>
    </w:p>
    <w:p>
      <w:pPr>
        <w:pStyle w:val="null3"/>
        <w:ind w:firstLine="960"/>
      </w:pPr>
      <w:r>
        <w:rPr/>
        <w:t>详见附件：供货服务方案</w:t>
      </w:r>
    </w:p>
    <w:p>
      <w:pPr>
        <w:pStyle w:val="null3"/>
        <w:ind w:firstLine="960"/>
      </w:pPr>
      <w:r>
        <w:rPr/>
        <w:t>详见附件：供应商承诺书</w:t>
      </w:r>
    </w:p>
    <w:p>
      <w:pPr>
        <w:pStyle w:val="null3"/>
        <w:ind w:firstLine="960"/>
      </w:pPr>
      <w:r>
        <w:rPr/>
        <w:t>详见附件：合同文本条款响应</w:t>
      </w:r>
    </w:p>
    <w:p>
      <w:pPr>
        <w:pStyle w:val="null3"/>
        <w:ind w:firstLine="960"/>
      </w:pPr>
      <w:r>
        <w:rPr/>
        <w:t>详见附件：节能及环保产品认证</w:t>
      </w:r>
    </w:p>
    <w:p>
      <w:pPr>
        <w:pStyle w:val="null3"/>
        <w:ind w:firstLine="960"/>
      </w:pPr>
      <w:r>
        <w:rPr/>
        <w:t>详见附件：类似项目业绩汇总表</w:t>
      </w:r>
    </w:p>
    <w:p>
      <w:pPr>
        <w:pStyle w:val="null3"/>
        <w:ind w:firstLine="960"/>
      </w:pPr>
      <w:r>
        <w:rPr/>
        <w:t>详见附件：原厂授权书及售后承诺书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