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版本号：240618001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2024年铜川市新区咸丰路街道农村垃圾清运项目</w:t>
      </w:r>
    </w:p>
    <w:p>
      <w:pPr>
        <w:pStyle w:val="null3"/>
        <w:jc w:val="center"/>
        <w:outlineLvl w:val="2"/>
      </w:pPr>
      <w:r>
        <w:rPr>
          <w:sz w:val="28"/>
          <w:b/>
        </w:rPr>
        <w:t>采购项目编号：</w:t>
      </w:r>
      <w:r>
        <w:rPr>
          <w:sz w:val="28"/>
          <w:b/>
        </w:rPr>
        <w:t>HXZBTC2024-015</w:t>
      </w:r>
      <w:r>
        <w:br/>
      </w:r>
      <w:r>
        <w:br/>
      </w:r>
      <w:r>
        <w:br/>
      </w:r>
    </w:p>
    <w:p>
      <w:pPr>
        <w:pStyle w:val="null3"/>
        <w:jc w:val="center"/>
        <w:outlineLvl w:val="2"/>
      </w:pPr>
      <w:r>
        <w:rPr>
          <w:sz w:val="28"/>
          <w:b/>
        </w:rPr>
        <w:t>铜川市新区咸丰路街道办事处</w:t>
      </w:r>
    </w:p>
    <w:p>
      <w:pPr>
        <w:pStyle w:val="null3"/>
        <w:jc w:val="center"/>
        <w:outlineLvl w:val="2"/>
      </w:pPr>
      <w:r>
        <w:rPr>
          <w:sz w:val="28"/>
          <w:b/>
        </w:rPr>
        <w:t>陕西汇兴项目管理有限公司</w:t>
      </w:r>
      <w:r>
        <w:rPr>
          <w:sz w:val="28"/>
          <w:b/>
        </w:rPr>
        <w:t>共同编制</w:t>
      </w:r>
    </w:p>
    <w:p>
      <w:pPr>
        <w:pStyle w:val="null3"/>
        <w:jc w:val="center"/>
        <w:outlineLvl w:val="2"/>
      </w:pPr>
      <w:r>
        <w:rPr>
          <w:sz w:val="28"/>
          <w:b/>
        </w:rPr>
        <w:t>2024年06月18日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陕西汇兴项目管理有限公司</w:t>
      </w:r>
      <w:r>
        <w:rPr/>
        <w:t>（以下简称“代理机构”）受</w:t>
      </w:r>
      <w:r>
        <w:rPr/>
        <w:t>铜川市新区咸丰路街道办事处</w:t>
      </w:r>
      <w:r>
        <w:rPr/>
        <w:t>委托，拟对</w:t>
      </w:r>
      <w:r>
        <w:rPr/>
        <w:t>2024年铜川市新区咸丰路街道农村垃圾清运项目</w:t>
      </w:r>
      <w:r>
        <w:rPr/>
        <w:t>采用竞争性磋商采购方式进行采购，兹邀请供应商参加本项目的竞争性磋商。</w:t>
      </w:r>
    </w:p>
    <w:p>
      <w:pPr>
        <w:pStyle w:val="null3"/>
        <w:outlineLvl w:val="2"/>
      </w:pPr>
      <w:r>
        <w:rPr>
          <w:sz w:val="28"/>
          <w:b/>
        </w:rPr>
        <w:t>一、项目编号：</w:t>
      </w:r>
      <w:r>
        <w:rPr>
          <w:sz w:val="28"/>
          <w:b/>
        </w:rPr>
        <w:t>HXZBTC2024-015</w:t>
      </w:r>
    </w:p>
    <w:p>
      <w:pPr>
        <w:pStyle w:val="null3"/>
        <w:outlineLvl w:val="2"/>
      </w:pPr>
      <w:r>
        <w:rPr>
          <w:sz w:val="28"/>
          <w:b/>
        </w:rPr>
        <w:t>二、项目名称：</w:t>
      </w:r>
      <w:r>
        <w:rPr>
          <w:sz w:val="28"/>
          <w:b/>
        </w:rPr>
        <w:t>2024年铜川市新区咸丰路街道农村垃圾清运项目</w:t>
      </w:r>
    </w:p>
    <w:p>
      <w:pPr>
        <w:pStyle w:val="null3"/>
        <w:outlineLvl w:val="2"/>
      </w:pPr>
      <w:r>
        <w:rPr>
          <w:sz w:val="28"/>
          <w:b/>
        </w:rPr>
        <w:t>三、磋商项目简介</w:t>
      </w:r>
    </w:p>
    <w:p>
      <w:pPr>
        <w:pStyle w:val="null3"/>
        <w:ind w:firstLine="480"/>
      </w:pPr>
      <w:r>
        <w:rPr/>
        <w:t>2024年铜川市新区咸丰路街道农村垃圾清运服务。</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采购包1（2024年铜川市新区咸丰路街道农村垃圾清运项目）：属于专门面向中小企业采购。</w:t>
      </w:r>
    </w:p>
    <w:p>
      <w:pPr>
        <w:pStyle w:val="null3"/>
        <w:ind w:firstLine="480"/>
      </w:pPr>
      <w:r>
        <w:rPr/>
        <w:t>（三）本项目的特定资格要求：</w:t>
      </w:r>
    </w:p>
    <w:p>
      <w:pPr>
        <w:pStyle w:val="null3"/>
      </w:pPr>
      <w:r>
        <w:rPr/>
        <w:t>采购包1：</w:t>
      </w:r>
    </w:p>
    <w:p>
      <w:pPr>
        <w:pStyle w:val="null3"/>
      </w:pPr>
      <w:r>
        <w:rPr/>
        <w:t>1、特定资格要求：（1）、具有独立承担民事责任能力的法人、其他组织或自然人，并出具合法有效的营业执照或事业单位法人证书等国家规定的相关证明，自然人参与的提供其身份证明； （2）、财务状况报告：提供具有财务审计资质单位出具的2022或2023年度财务报告或磋商前六个月内其基本账户银行出具的资信证明或政府采购信用担保机构出具的磋商担保函； （3）、税收交纳证明：提供截止至磋商时间前六个月内任意二个月的缴费凭据；（依法免税的供应商应提供相关文件证明）； （4）、社会保障资金交纳证明：提供截止至磋商时间前六个月内任意二个月的社保缴费凭据或社保机构开具的社会保险参保缴费情况证明；（依法不需要交纳社会保障资金的供应商应提供相关证明）； （5）、提供具有履行本合同所必需的设备和专业技术能力的说明及承诺； （6）、提供参加政府采购活动前三年内在经营活动中没有重大违法记录的书面声明； （7）、供应商应授权合法的人员参加磋商全过程，其中法定代表直接参加磋商的，须出具身份证，并与营业执照上信息一致。授权代表参加磋商的，须出具法定代表人授权委托书及授权代表身份证； （8）、供应商不得为“信用中国(www.creditchina.gov.cn)”中列入失信被执行人名单的供应商，不得为“中国政府采购网(www.ccgp.gov.cn)”政府采购严重违法失信行为记录名单中被财政部门禁止参加政府采购活动的供应商； （9）、本项目不允许联合体磋商。（提供非联合体磋商承诺）。</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铜川市新区咸丰路街道办事处</w:t>
      </w:r>
    </w:p>
    <w:p>
      <w:pPr>
        <w:pStyle w:val="null3"/>
      </w:pPr>
      <w:r>
        <w:rPr/>
        <w:t xml:space="preserve"> 地址： </w:t>
      </w:r>
      <w:r>
        <w:rPr/>
        <w:t>陕西省铜川市新区咸丰西路</w:t>
      </w:r>
    </w:p>
    <w:p>
      <w:pPr>
        <w:pStyle w:val="null3"/>
      </w:pPr>
      <w:r>
        <w:rPr/>
        <w:t xml:space="preserve"> 邮编： </w:t>
      </w:r>
      <w:r>
        <w:rPr/>
        <w:t>727031</w:t>
      </w:r>
    </w:p>
    <w:p>
      <w:pPr>
        <w:pStyle w:val="null3"/>
      </w:pPr>
      <w:r>
        <w:rPr/>
        <w:t xml:space="preserve"> 联系人： </w:t>
      </w:r>
      <w:r>
        <w:rPr/>
        <w:t>铜川市新区咸丰路街道办事处经办</w:t>
      </w:r>
    </w:p>
    <w:p>
      <w:pPr>
        <w:pStyle w:val="null3"/>
      </w:pPr>
      <w:r>
        <w:rPr/>
        <w:t xml:space="preserve"> 联系电话： </w:t>
      </w:r>
      <w:r>
        <w:rPr/>
        <w:t>13468796333</w:t>
      </w:r>
    </w:p>
    <w:p>
      <w:pPr>
        <w:pStyle w:val="null3"/>
        <w:outlineLvl w:val="3"/>
      </w:pPr>
      <w:r>
        <w:rPr>
          <w:sz w:val="24"/>
          <w:b/>
        </w:rPr>
        <w:t>代理机构：</w:t>
      </w:r>
      <w:r>
        <w:rPr>
          <w:sz w:val="24"/>
          <w:b/>
        </w:rPr>
        <w:t>陕西汇兴项目管理有限公司</w:t>
      </w:r>
    </w:p>
    <w:p>
      <w:pPr>
        <w:pStyle w:val="null3"/>
      </w:pPr>
      <w:r>
        <w:rPr/>
        <w:t xml:space="preserve"> 地址： </w:t>
      </w:r>
      <w:r>
        <w:rPr/>
        <w:t>铜川市新区金谟西路11号</w:t>
      </w:r>
    </w:p>
    <w:p>
      <w:pPr>
        <w:pStyle w:val="null3"/>
      </w:pPr>
      <w:r>
        <w:rPr/>
        <w:t xml:space="preserve"> 邮编： </w:t>
      </w:r>
      <w:r>
        <w:rPr/>
        <w:t>727031</w:t>
      </w:r>
    </w:p>
    <w:p>
      <w:pPr>
        <w:pStyle w:val="null3"/>
      </w:pPr>
      <w:r>
        <w:rPr/>
        <w:t xml:space="preserve"> 联系人： </w:t>
      </w:r>
      <w:r>
        <w:rPr/>
        <w:t>张伟</w:t>
      </w:r>
    </w:p>
    <w:p>
      <w:pPr>
        <w:pStyle w:val="null3"/>
      </w:pPr>
      <w:r>
        <w:rPr/>
        <w:t xml:space="preserve"> 联系电话： </w:t>
      </w:r>
      <w:r>
        <w:rPr/>
        <w:t>15209199909</w:t>
      </w:r>
    </w:p>
    <w:p>
      <w:pPr>
        <w:pStyle w:val="null3"/>
        <w:outlineLvl w:val="3"/>
      </w:pPr>
      <w:r>
        <w:rPr>
          <w:sz w:val="24"/>
          <w:b/>
        </w:rPr>
        <w:t>采购监督机构：</w:t>
      </w:r>
      <w:r>
        <w:rPr>
          <w:sz w:val="24"/>
          <w:b/>
        </w:rPr>
        <w:t>铜川新区政府采购管理股</w:t>
      </w:r>
    </w:p>
    <w:p>
      <w:pPr>
        <w:pStyle w:val="null3"/>
        <w:ind w:firstLine="480"/>
      </w:pPr>
      <w:r>
        <w:rPr/>
        <w:t>联系人：</w:t>
      </w:r>
      <w:r>
        <w:rPr/>
        <w:t>高炜</w:t>
      </w:r>
    </w:p>
    <w:p>
      <w:pPr>
        <w:pStyle w:val="null3"/>
        <w:ind w:firstLine="480"/>
      </w:pPr>
      <w:r>
        <w:rPr/>
        <w:t>联系电话：</w:t>
      </w:r>
      <w:r>
        <w:rPr/>
        <w:t>0919-3181026</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采购包1：721,649.25元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采购代理机构参照国家计委关于印发《招标代理服务收费管理暂行办法》的通知（计价格〔2002〕1980号）、《国家发展和改革委员会办公厅关于招标代理服务收费有关问题的通知》（发改办价格〔2003〕857号）规定收取代理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铜川市新区咸丰路街道办事处</w:t>
      </w:r>
      <w:r>
        <w:rPr/>
        <w:t>和</w:t>
      </w:r>
      <w:r>
        <w:rPr/>
        <w:t>陕西汇兴项目管理有限公司</w:t>
      </w:r>
      <w:r>
        <w:rPr/>
        <w:t>享有。对磋商文件中供应商参加本次政府采购活动应当具备的条件，磋商项目技术、服务、商务及其他要求，评审细则及标准由</w:t>
      </w:r>
      <w:r>
        <w:rPr/>
        <w:t>铜川市新区咸丰路街道办事处</w:t>
      </w:r>
      <w:r>
        <w:rPr/>
        <w:t>负责解释。除上述磋商文件内容，其他内容由</w:t>
      </w:r>
      <w:r>
        <w:rPr/>
        <w:t>陕西汇兴项目管理有限公司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铜川市新区咸丰路街道办事处</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陕西汇兴项目管理有限公司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满足合同及采购人要求。</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陕西汇兴项目管理有限公司</w:t>
      </w:r>
      <w:r>
        <w:rPr/>
        <w:t xml:space="preserve"> 负责答复；供应商对除采购需求外的采购文件的询问、质疑由</w:t>
      </w:r>
      <w:r>
        <w:rPr/>
        <w:t>陕西汇兴项目管理有限公司</w:t>
      </w:r>
      <w:r>
        <w:rPr/>
        <w:t xml:space="preserve"> 负责答复；供应商对采购过程、采购结果的询问、质疑由 </w:t>
      </w:r>
      <w:r>
        <w:rPr/>
        <w:t>陕西汇兴项目管理有限公司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联系人：张伟</w:t>
      </w:r>
    </w:p>
    <w:p>
      <w:pPr>
        <w:pStyle w:val="null3"/>
      </w:pPr>
      <w:r>
        <w:rPr/>
        <w:t>联系电话：15209199909</w:t>
      </w:r>
    </w:p>
    <w:p>
      <w:pPr>
        <w:pStyle w:val="null3"/>
      </w:pPr>
      <w:r>
        <w:rPr/>
        <w:t>地址：铜川市新区金谟西路11号</w:t>
      </w:r>
    </w:p>
    <w:p>
      <w:pPr>
        <w:pStyle w:val="null3"/>
      </w:pPr>
      <w:r>
        <w:rPr/>
        <w:t>邮编：727031</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2024年铜川市新区咸丰路街道农村垃圾清运服务。</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721,649.25</w:t>
      </w:r>
    </w:p>
    <w:p>
      <w:pPr>
        <w:pStyle w:val="null3"/>
      </w:pPr>
      <w:r>
        <w:rPr/>
        <w:t>采购包最高限价（元）: 721,649.25</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2024年铜川市新区咸丰路街道农村垃圾清运项目</w:t>
            </w:r>
          </w:p>
        </w:tc>
        <w:tc>
          <w:tcPr>
            <w:tcW w:type="dxa" w:w="831"/>
          </w:tcPr>
          <w:p>
            <w:pPr>
              <w:pStyle w:val="null3"/>
              <w:jc w:val="right"/>
            </w:pPr>
            <w:r>
              <w:rPr/>
              <w:t>1.00</w:t>
            </w:r>
          </w:p>
        </w:tc>
        <w:tc>
          <w:tcPr>
            <w:tcW w:type="dxa" w:w="831"/>
          </w:tcPr>
          <w:p>
            <w:pPr>
              <w:pStyle w:val="null3"/>
              <w:jc w:val="right"/>
            </w:pPr>
            <w:r>
              <w:rPr/>
              <w:t>721,649.25</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标的名称：2024年铜川市新区咸丰路街道农村垃圾清运项目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楷体" w:hAnsi="楷体" w:cs="楷体" w:eastAsia="楷体"/>
                <w:sz w:val="24"/>
                <w:b/>
                <w:color w:val="000000"/>
              </w:rPr>
              <w:t>一、基本情况：</w:t>
            </w:r>
          </w:p>
          <w:p>
            <w:pPr>
              <w:pStyle w:val="null3"/>
              <w:ind w:firstLine="480"/>
              <w:jc w:val="both"/>
            </w:pPr>
            <w:r>
              <w:rPr>
                <w:rFonts w:ascii="楷体" w:hAnsi="楷体" w:cs="楷体" w:eastAsia="楷体"/>
                <w:sz w:val="24"/>
                <w:color w:val="000000"/>
              </w:rPr>
              <w:t>1、范围：</w:t>
            </w:r>
            <w:r>
              <w:rPr>
                <w:rFonts w:ascii="楷体" w:hAnsi="楷体" w:cs="楷体" w:eastAsia="楷体"/>
                <w:sz w:val="24"/>
                <w:color w:val="000000"/>
              </w:rPr>
              <w:t>白家村、景丰村（肖家组、中西组、）中老村、玉皇阁村、</w:t>
            </w:r>
            <w:r>
              <w:rPr>
                <w:rFonts w:ascii="楷体" w:hAnsi="楷体" w:cs="楷体" w:eastAsia="楷体"/>
                <w:sz w:val="24"/>
                <w:color w:val="000000"/>
              </w:rPr>
              <w:t>申河村</w:t>
            </w:r>
            <w:r>
              <w:rPr>
                <w:rFonts w:ascii="楷体" w:hAnsi="楷体" w:cs="楷体" w:eastAsia="楷体"/>
                <w:sz w:val="24"/>
                <w:color w:val="000000"/>
              </w:rPr>
              <w:t>(申河组、阿堡寨组)、平都村(平老组、平新组、）上高埝村、野狐坡村、崔家坡村（董坡组、崔上组、崔下组）、方巷口村、石仁村、任家庄村等</w:t>
            </w:r>
            <w:r>
              <w:rPr>
                <w:rFonts w:ascii="楷体" w:hAnsi="楷体" w:cs="楷体" w:eastAsia="楷体"/>
                <w:sz w:val="24"/>
                <w:color w:val="000000"/>
              </w:rPr>
              <w:t>12</w:t>
            </w:r>
            <w:r>
              <w:rPr>
                <w:rFonts w:ascii="楷体" w:hAnsi="楷体" w:cs="楷体" w:eastAsia="楷体"/>
                <w:sz w:val="24"/>
                <w:color w:val="000000"/>
              </w:rPr>
              <w:t>个村的垃圾清理、清运工作及街道办临时指定的辖区其他范围内的垃圾清理、清运工作。</w:t>
            </w:r>
          </w:p>
          <w:p>
            <w:pPr>
              <w:pStyle w:val="null3"/>
              <w:jc w:val="both"/>
            </w:pPr>
            <w:r>
              <w:rPr>
                <w:rFonts w:ascii="楷体" w:hAnsi="楷体" w:cs="楷体" w:eastAsia="楷体"/>
                <w:sz w:val="24"/>
                <w:color w:val="000000"/>
              </w:rPr>
              <w:t xml:space="preserve">  </w:t>
            </w:r>
            <w:r>
              <w:rPr>
                <w:rFonts w:ascii="楷体" w:hAnsi="楷体" w:cs="楷体" w:eastAsia="楷体"/>
                <w:sz w:val="24"/>
                <w:color w:val="000000"/>
              </w:rPr>
              <w:t>2、清理期：</w:t>
            </w:r>
            <w:r>
              <w:rPr>
                <w:rFonts w:ascii="楷体" w:hAnsi="楷体" w:cs="楷体" w:eastAsia="楷体"/>
                <w:sz w:val="24"/>
                <w:color w:val="000000"/>
              </w:rPr>
              <w:t>日产日清</w:t>
            </w:r>
          </w:p>
          <w:p>
            <w:pPr>
              <w:pStyle w:val="null3"/>
              <w:ind w:firstLine="480"/>
              <w:jc w:val="both"/>
            </w:pPr>
            <w:r>
              <w:rPr>
                <w:rFonts w:ascii="楷体" w:hAnsi="楷体" w:cs="楷体" w:eastAsia="楷体"/>
                <w:sz w:val="24"/>
                <w:color w:val="000000"/>
              </w:rPr>
              <w:t>3、服务期：一年</w:t>
            </w:r>
          </w:p>
          <w:p>
            <w:pPr>
              <w:pStyle w:val="null3"/>
              <w:spacing w:after="120"/>
              <w:ind w:firstLine="480"/>
              <w:jc w:val="both"/>
            </w:pPr>
            <w:r>
              <w:rPr>
                <w:rFonts w:ascii="楷体" w:hAnsi="楷体" w:cs="楷体" w:eastAsia="楷体"/>
                <w:sz w:val="24"/>
                <w:color w:val="000000"/>
              </w:rPr>
              <w:t>4、采购预算：721,649.25元</w:t>
            </w:r>
          </w:p>
          <w:p>
            <w:pPr>
              <w:pStyle w:val="null3"/>
              <w:jc w:val="both"/>
            </w:pPr>
            <w:r>
              <w:rPr>
                <w:rFonts w:ascii="宋体" w:hAnsi="宋体" w:cs="宋体" w:eastAsia="宋体"/>
                <w:sz w:val="24"/>
                <w:b/>
              </w:rPr>
              <w:t xml:space="preserve"> </w:t>
            </w:r>
            <w:r>
              <w:rPr>
                <w:rFonts w:ascii="楷体" w:hAnsi="楷体" w:cs="楷体" w:eastAsia="楷体"/>
                <w:sz w:val="24"/>
                <w:b/>
                <w:color w:val="000000"/>
              </w:rPr>
              <w:t>二、工作任务及标准</w:t>
            </w:r>
            <w:r>
              <w:rPr>
                <w:rFonts w:ascii="楷体" w:hAnsi="楷体" w:cs="楷体" w:eastAsia="楷体"/>
                <w:sz w:val="24"/>
                <w:b/>
                <w:color w:val="000000"/>
              </w:rPr>
              <w:t>：</w:t>
            </w:r>
          </w:p>
          <w:p>
            <w:pPr>
              <w:pStyle w:val="null3"/>
              <w:ind w:firstLine="480"/>
              <w:jc w:val="both"/>
            </w:pPr>
            <w:r>
              <w:rPr>
                <w:rFonts w:ascii="楷体" w:hAnsi="楷体" w:cs="楷体" w:eastAsia="楷体"/>
                <w:sz w:val="24"/>
                <w:color w:val="000000"/>
              </w:rPr>
              <w:t>1</w:t>
            </w:r>
            <w:r>
              <w:rPr>
                <w:rFonts w:ascii="楷体" w:hAnsi="楷体" w:cs="楷体" w:eastAsia="楷体"/>
                <w:sz w:val="24"/>
                <w:color w:val="000000"/>
              </w:rPr>
              <w:t>、</w:t>
            </w:r>
            <w:r>
              <w:rPr>
                <w:rFonts w:ascii="楷体" w:hAnsi="楷体" w:cs="楷体" w:eastAsia="楷体"/>
                <w:sz w:val="24"/>
                <w:color w:val="000000"/>
              </w:rPr>
              <w:t>垃圾清运公司负责对</w:t>
            </w:r>
            <w:r>
              <w:rPr>
                <w:rFonts w:ascii="楷体" w:hAnsi="楷体" w:cs="楷体" w:eastAsia="楷体"/>
                <w:sz w:val="24"/>
                <w:color w:val="000000"/>
              </w:rPr>
              <w:t>各</w:t>
            </w:r>
            <w:r>
              <w:rPr>
                <w:rFonts w:ascii="楷体" w:hAnsi="楷体" w:cs="楷体" w:eastAsia="楷体"/>
                <w:sz w:val="24"/>
                <w:color w:val="000000"/>
              </w:rPr>
              <w:t>村组主干路和通村路旁各类垃圾台、垃圾桶、垃圾点的清运</w:t>
            </w:r>
            <w:r>
              <w:rPr>
                <w:rFonts w:ascii="楷体" w:hAnsi="楷体" w:cs="楷体" w:eastAsia="楷体"/>
                <w:sz w:val="24"/>
                <w:color w:val="000000"/>
              </w:rPr>
              <w:t>，</w:t>
            </w:r>
            <w:r>
              <w:rPr>
                <w:rFonts w:ascii="楷体" w:hAnsi="楷体" w:cs="楷体" w:eastAsia="楷体"/>
                <w:sz w:val="24"/>
                <w:color w:val="000000"/>
              </w:rPr>
              <w:t>做到日产日清，</w:t>
            </w:r>
            <w:r>
              <w:rPr>
                <w:rFonts w:ascii="楷体" w:hAnsi="楷体" w:cs="楷体" w:eastAsia="楷体"/>
                <w:sz w:val="24"/>
                <w:color w:val="000000"/>
              </w:rPr>
              <w:t>并将</w:t>
            </w:r>
            <w:r>
              <w:rPr>
                <w:rFonts w:ascii="楷体" w:hAnsi="楷体" w:cs="楷体" w:eastAsia="楷体"/>
                <w:sz w:val="24"/>
                <w:color w:val="000000"/>
              </w:rPr>
              <w:t>装载时散落垃圾清理干净</w:t>
            </w:r>
            <w:r>
              <w:rPr>
                <w:rFonts w:ascii="楷体" w:hAnsi="楷体" w:cs="楷体" w:eastAsia="楷体"/>
                <w:sz w:val="24"/>
                <w:color w:val="000000"/>
              </w:rPr>
              <w:t>，垃圾桶摆放整齐</w:t>
            </w:r>
            <w:r>
              <w:rPr>
                <w:rFonts w:ascii="楷体" w:hAnsi="楷体" w:cs="楷体" w:eastAsia="楷体"/>
                <w:sz w:val="24"/>
                <w:color w:val="000000"/>
              </w:rPr>
              <w:t>。</w:t>
            </w:r>
            <w:r>
              <w:rPr>
                <w:rFonts w:ascii="楷体" w:hAnsi="楷体" w:cs="楷体" w:eastAsia="楷体"/>
                <w:sz w:val="24"/>
                <w:color w:val="000000"/>
              </w:rPr>
              <w:t>同时做好</w:t>
            </w:r>
            <w:r>
              <w:rPr>
                <w:rFonts w:ascii="楷体" w:hAnsi="楷体" w:cs="楷体" w:eastAsia="楷体"/>
                <w:sz w:val="24"/>
                <w:color w:val="000000"/>
              </w:rPr>
              <w:t>咸丰街道办事处安排的其他工作</w:t>
            </w:r>
            <w:r>
              <w:rPr>
                <w:rFonts w:ascii="楷体" w:hAnsi="楷体" w:cs="楷体" w:eastAsia="楷体"/>
                <w:sz w:val="24"/>
                <w:color w:val="000000"/>
              </w:rPr>
              <w:t>、</w:t>
            </w:r>
            <w:r>
              <w:rPr>
                <w:rFonts w:ascii="楷体" w:hAnsi="楷体" w:cs="楷体" w:eastAsia="楷体"/>
                <w:sz w:val="24"/>
                <w:color w:val="000000"/>
              </w:rPr>
              <w:t>重大活动</w:t>
            </w:r>
            <w:r>
              <w:rPr>
                <w:rFonts w:ascii="楷体" w:hAnsi="楷体" w:cs="楷体" w:eastAsia="楷体"/>
                <w:sz w:val="24"/>
                <w:color w:val="000000"/>
              </w:rPr>
              <w:t>的</w:t>
            </w:r>
            <w:r>
              <w:rPr>
                <w:rFonts w:ascii="楷体" w:hAnsi="楷体" w:cs="楷体" w:eastAsia="楷体"/>
                <w:sz w:val="24"/>
                <w:color w:val="000000"/>
              </w:rPr>
              <w:t>环境卫生保障</w:t>
            </w:r>
            <w:r>
              <w:rPr>
                <w:rFonts w:ascii="楷体" w:hAnsi="楷体" w:cs="楷体" w:eastAsia="楷体"/>
                <w:sz w:val="24"/>
                <w:color w:val="000000"/>
              </w:rPr>
              <w:t>。</w:t>
            </w:r>
            <w:r>
              <w:rPr>
                <w:rFonts w:ascii="楷体" w:hAnsi="楷体" w:cs="楷体" w:eastAsia="楷体"/>
                <w:sz w:val="24"/>
                <w:color w:val="000000"/>
              </w:rPr>
              <w:t>运输时严格按照相关规定进行处理。拉运途中密闭运输，不抛洒、不扬尘、不中途乱倒。</w:t>
            </w:r>
          </w:p>
          <w:p>
            <w:pPr>
              <w:pStyle w:val="null3"/>
              <w:ind w:firstLine="480"/>
              <w:jc w:val="both"/>
            </w:pPr>
            <w:r>
              <w:rPr>
                <w:rFonts w:ascii="楷体" w:hAnsi="楷体" w:cs="楷体" w:eastAsia="楷体"/>
                <w:sz w:val="24"/>
                <w:color w:val="000000"/>
              </w:rPr>
              <w:t>2、垃圾清运工作中，工作人员与车辆应有明显的保洁标志、标识，机械车辆要保持车辆容貌整洁，并每日对车辆进行消杀。运输过程中遵守交通交管部门的有关规定。</w:t>
            </w:r>
          </w:p>
          <w:p>
            <w:pPr>
              <w:pStyle w:val="null3"/>
              <w:ind w:firstLine="480"/>
              <w:jc w:val="both"/>
            </w:pPr>
            <w:r>
              <w:rPr>
                <w:rFonts w:ascii="楷体" w:hAnsi="楷体" w:cs="楷体" w:eastAsia="楷体"/>
                <w:sz w:val="24"/>
                <w:color w:val="000000"/>
              </w:rPr>
              <w:t>3、清运垃圾过程中，要爱护垃圾屋、垃圾台、垃圾桶等公共环卫设施。</w:t>
            </w:r>
          </w:p>
          <w:p>
            <w:pPr>
              <w:pStyle w:val="null3"/>
              <w:ind w:firstLine="480"/>
              <w:jc w:val="both"/>
            </w:pPr>
            <w:r>
              <w:rPr>
                <w:rFonts w:ascii="楷体" w:hAnsi="楷体" w:cs="楷体" w:eastAsia="楷体"/>
                <w:sz w:val="24"/>
                <w:color w:val="000000"/>
              </w:rPr>
              <w:t>4、垃圾清运过程当中，工作人员应规范操作机械，因不安全作业造成的事故损失等，由垃圾清运公司自行承担。</w:t>
            </w:r>
          </w:p>
          <w:p>
            <w:pPr>
              <w:pStyle w:val="null3"/>
              <w:spacing w:after="120"/>
              <w:ind w:firstLine="480"/>
              <w:jc w:val="left"/>
            </w:pPr>
            <w:r>
              <w:rPr>
                <w:rFonts w:ascii="楷体" w:hAnsi="楷体" w:cs="楷体" w:eastAsia="楷体"/>
                <w:sz w:val="24"/>
                <w:color w:val="000000"/>
              </w:rPr>
              <w:t>5、垃圾清运公司应及时自查，突出工作重点，灵活工作方式，确保工作任务落到实处。定期对工作人员岗位培训，提高工作人员业务技能和工作责任心。</w:t>
            </w:r>
          </w:p>
          <w:p>
            <w:pPr>
              <w:pStyle w:val="null3"/>
              <w:jc w:val="both"/>
            </w:pPr>
          </w:p>
        </w:tc>
      </w:tr>
    </w:tbl>
    <w:p>
      <w:pPr>
        <w:pStyle w:val="null3"/>
        <w:outlineLvl w:val="2"/>
      </w:pPr>
      <w:r>
        <w:rPr>
          <w:sz w:val="28"/>
          <w:b/>
        </w:rPr>
        <w:t>3.2.3人员配置要求</w:t>
      </w:r>
    </w:p>
    <w:p>
      <w:pPr>
        <w:pStyle w:val="null3"/>
      </w:pPr>
      <w:r>
        <w:rPr/>
        <w:t>采购包1：</w:t>
      </w:r>
    </w:p>
    <w:p>
      <w:pPr>
        <w:pStyle w:val="null3"/>
      </w:pPr>
      <w:r>
        <w:rPr/>
        <w:t>详见磋商办法评审细则及标准。</w:t>
      </w:r>
    </w:p>
    <w:p>
      <w:pPr>
        <w:pStyle w:val="null3"/>
        <w:outlineLvl w:val="2"/>
      </w:pPr>
      <w:r>
        <w:rPr>
          <w:sz w:val="28"/>
          <w:b/>
        </w:rPr>
        <w:t>3.2.4设施设备要求</w:t>
      </w:r>
    </w:p>
    <w:p>
      <w:pPr>
        <w:pStyle w:val="null3"/>
      </w:pPr>
      <w:r>
        <w:rPr/>
        <w:t>采购包1：</w:t>
      </w:r>
    </w:p>
    <w:p>
      <w:pPr>
        <w:pStyle w:val="null3"/>
      </w:pPr>
      <w:r>
        <w:rPr/>
        <w:t>满足采购合同要求。</w:t>
      </w:r>
    </w:p>
    <w:p>
      <w:pPr>
        <w:pStyle w:val="null3"/>
        <w:outlineLvl w:val="2"/>
      </w:pPr>
      <w:r>
        <w:rPr>
          <w:sz w:val="28"/>
          <w:b/>
        </w:rPr>
        <w:t>3.2.5其他要求</w:t>
      </w:r>
    </w:p>
    <w:p>
      <w:pPr>
        <w:pStyle w:val="null3"/>
      </w:pPr>
      <w:r>
        <w:rPr/>
        <w:t>采购包1：</w:t>
      </w:r>
    </w:p>
    <w:p>
      <w:pPr>
        <w:pStyle w:val="null3"/>
      </w:pPr>
      <w:r>
        <w:rPr/>
        <w:t>无</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1年</w:t>
      </w:r>
    </w:p>
    <w:p>
      <w:pPr>
        <w:pStyle w:val="null3"/>
        <w:outlineLvl w:val="3"/>
      </w:pPr>
      <w:r>
        <w:rPr>
          <w:sz w:val="24"/>
          <w:b/>
        </w:rPr>
        <w:t>3.3.2服务地点</w:t>
      </w:r>
    </w:p>
    <w:p>
      <w:pPr>
        <w:pStyle w:val="null3"/>
      </w:pPr>
      <w:r>
        <w:rPr/>
        <w:t>采购包1：</w:t>
      </w:r>
    </w:p>
    <w:p>
      <w:pPr>
        <w:pStyle w:val="null3"/>
      </w:pPr>
      <w:r>
        <w:rPr/>
        <w:t>采购人指定地点</w:t>
      </w:r>
    </w:p>
    <w:p>
      <w:pPr>
        <w:pStyle w:val="null3"/>
        <w:outlineLvl w:val="3"/>
      </w:pPr>
      <w:r>
        <w:rPr>
          <w:sz w:val="24"/>
          <w:b/>
        </w:rPr>
        <w:t>3.3.3考核（验收）标准和方法</w:t>
      </w:r>
    </w:p>
    <w:p>
      <w:pPr>
        <w:pStyle w:val="null3"/>
      </w:pPr>
      <w:r>
        <w:rPr/>
        <w:t>采购包1：</w:t>
      </w:r>
    </w:p>
    <w:p>
      <w:pPr>
        <w:pStyle w:val="null3"/>
      </w:pPr>
      <w:r>
        <w:rPr/>
        <w:t>满足合同及采购人要求。</w:t>
      </w:r>
    </w:p>
    <w:p>
      <w:pPr>
        <w:pStyle w:val="null3"/>
        <w:outlineLvl w:val="3"/>
      </w:pPr>
      <w:r>
        <w:rPr>
          <w:sz w:val="24"/>
          <w:b/>
        </w:rPr>
        <w:t>3.3.4支付方式</w:t>
      </w:r>
    </w:p>
    <w:p>
      <w:pPr>
        <w:pStyle w:val="null3"/>
      </w:pPr>
      <w:r>
        <w:rPr/>
        <w:t>采购包1：</w:t>
      </w:r>
    </w:p>
    <w:p>
      <w:pPr>
        <w:pStyle w:val="null3"/>
      </w:pPr>
      <w:r>
        <w:rPr/>
        <w:t>一次付清</w:t>
      </w:r>
    </w:p>
    <w:p>
      <w:pPr>
        <w:pStyle w:val="null3"/>
        <w:outlineLvl w:val="3"/>
      </w:pPr>
      <w:r>
        <w:rPr>
          <w:sz w:val="24"/>
          <w:b/>
        </w:rPr>
        <w:t>3.3.5支付约定</w:t>
      </w:r>
    </w:p>
    <w:p>
      <w:pPr>
        <w:pStyle w:val="null3"/>
      </w:pPr>
      <w:r>
        <w:rPr/>
        <w:t>采购包1：</w:t>
      </w:r>
      <w:r>
        <w:rPr/>
        <w:t xml:space="preserve"> 付款条件说明： </w:t>
      </w:r>
      <w:r>
        <w:rPr/>
        <w:t>按月支付（具体以实际签订合同为准）</w:t>
      </w:r>
      <w:r>
        <w:rPr/>
        <w:t xml:space="preserve"> ，达到付款条件起 </w:t>
      </w:r>
      <w:r>
        <w:rPr/>
        <w:t>15</w:t>
      </w:r>
      <w:r>
        <w:rPr/>
        <w:t xml:space="preserve"> 日内，支付合同总金额的 </w:t>
      </w:r>
      <w:r>
        <w:rPr/>
        <w:t>100.00</w:t>
      </w:r>
      <w:r>
        <w:rPr/>
        <w:t>%。</w:t>
      </w:r>
    </w:p>
    <w:p>
      <w:pPr>
        <w:pStyle w:val="null3"/>
        <w:outlineLvl w:val="3"/>
      </w:pPr>
      <w:r>
        <w:rPr>
          <w:sz w:val="24"/>
          <w:b/>
        </w:rPr>
        <w:t>3.3.6违约责任及解决争议的方法</w:t>
      </w:r>
    </w:p>
    <w:p>
      <w:pPr>
        <w:pStyle w:val="null3"/>
      </w:pPr>
      <w:r>
        <w:rPr/>
        <w:t>采购包1：</w:t>
      </w:r>
    </w:p>
    <w:p>
      <w:pPr>
        <w:pStyle w:val="null3"/>
      </w:pPr>
      <w:r>
        <w:rPr/>
        <w:t>满足合同及采购人要求。</w:t>
      </w:r>
    </w:p>
    <w:p>
      <w:pPr>
        <w:pStyle w:val="null3"/>
        <w:outlineLvl w:val="2"/>
      </w:pPr>
      <w:r>
        <w:rPr>
          <w:sz w:val="28"/>
          <w:b/>
        </w:rPr>
        <w:t>3.4其他要求</w:t>
      </w:r>
    </w:p>
    <w:p>
      <w:pPr>
        <w:pStyle w:val="null3"/>
      </w:pPr>
      <w:r>
        <w:rPr/>
        <w:t>1、付款条件说明： 按月支付（具体以实际签订合同为准） ； 2、服务期限：1年； 3、服务地点：采购人指定地点。</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特定资格要求</w:t>
            </w:r>
          </w:p>
        </w:tc>
        <w:tc>
          <w:tcPr>
            <w:tcW w:type="dxa" w:w="3322"/>
          </w:tcPr>
          <w:p>
            <w:pPr>
              <w:pStyle w:val="null3"/>
            </w:pPr>
            <w:r>
              <w:rPr/>
              <w:t>（1）、具有独立承担民事责任能力的法人、其他组织或自然人，并出具合法有效的营业执照或事业单位法人证书等国家规定的相关证明，自然人参与的提供其身份证明； （2）、财务状况报告：提供具有财务审计资质单位出具的2022或2023年度财务报告或磋商前六个月内其基本账户银行出具的资信证明或政府采购信用担保机构出具的磋商担保函； （3）、税收交纳证明：提供截止至磋商时间前六个月内任意二个月的缴费凭据；（依法免税的供应商应提供相关文件证明）； （4）、社会保障资金交纳证明：提供截止至磋商时间前六个月内任意二个月的社保缴费凭据或社保机构开具的社会保险参保缴费情况证明；（依法不需要交纳社会保障资金的供应商应提供相关证明）； （5）、提供具有履行本合同所必需的设备和专业技术能力的说明及承诺； （6）、提供参加政府采购活动前三年内在经营活动中没有重大违法记录的书面声明； （7）、供应商应授权合法的人员参加磋商全过程，其中法定代表直接参加磋商的，须出具身份证，并与营业执照上信息一致。授权代表参加磋商的，须出具法定代表人授权委托书及授权代表身份证； （8）、供应商不得为“信用中国(www.creditchina.gov.cn)”中列入失信被执行人名单的供应商，不得为“中国政府采购网(www.ccgp.gov.cn)”政府采购严重违法失信行为记录名单中被财政部门禁止参加政府采购活动的供应商； （9）、本项目不允许联合体磋商。（提供非联合体磋商承诺）。</w:t>
            </w:r>
          </w:p>
        </w:tc>
        <w:tc>
          <w:tcPr>
            <w:tcW w:type="dxa" w:w="1661"/>
          </w:tcPr>
          <w:p>
            <w:pPr>
              <w:pStyle w:val="null3"/>
            </w:pPr>
            <w:r>
              <w:rPr/>
              <w:t>供应商应提交的相关资格证明材料</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磋商响应文件的签署盖章</w:t>
            </w:r>
          </w:p>
        </w:tc>
        <w:tc>
          <w:tcPr>
            <w:tcW w:type="dxa" w:w="3322"/>
          </w:tcPr>
          <w:p>
            <w:pPr>
              <w:pStyle w:val="null3"/>
            </w:pPr>
            <w:r>
              <w:rPr/>
              <w:t>磋商响应文件上法定代表人或被授权人的签字齐全并加盖公章。</w:t>
            </w:r>
          </w:p>
        </w:tc>
        <w:tc>
          <w:tcPr>
            <w:tcW w:type="dxa" w:w="1661"/>
          </w:tcPr>
          <w:p>
            <w:pPr>
              <w:pStyle w:val="null3"/>
            </w:pPr>
            <w:r>
              <w:rPr/>
              <w:t>服务内容及服务邀请应答表 法定代表人授权委托书 中小企业声明函 商务应答表 法定代表人身份证明 供应商应提交的相关资格证明材料 报价表 业绩一览表 响应文件封面 其他资料 残疾人福利性单位声明函 服务方案 标的清单 响应函 监狱企业的证明文件</w:t>
            </w:r>
          </w:p>
        </w:tc>
      </w:tr>
      <w:tr>
        <w:tc>
          <w:tcPr>
            <w:tcW w:type="dxa" w:w="831"/>
          </w:tcPr>
          <w:p>
            <w:pPr>
              <w:pStyle w:val="null3"/>
            </w:pPr>
            <w:r>
              <w:rPr/>
              <w:t>3</w:t>
            </w:r>
          </w:p>
        </w:tc>
        <w:tc>
          <w:tcPr>
            <w:tcW w:type="dxa" w:w="2492"/>
          </w:tcPr>
          <w:p>
            <w:pPr>
              <w:pStyle w:val="null3"/>
            </w:pPr>
            <w:r>
              <w:rPr/>
              <w:t>报价唯一</w:t>
            </w:r>
          </w:p>
        </w:tc>
        <w:tc>
          <w:tcPr>
            <w:tcW w:type="dxa" w:w="3322"/>
          </w:tcPr>
          <w:p>
            <w:pPr>
              <w:pStyle w:val="null3"/>
            </w:pPr>
            <w:r>
              <w:rPr/>
              <w:t>只能有一个有效报价，不得提交选择性报价，且报价不超过采购预算金额或最高限价。</w:t>
            </w:r>
          </w:p>
        </w:tc>
        <w:tc>
          <w:tcPr>
            <w:tcW w:type="dxa" w:w="1661"/>
          </w:tcPr>
          <w:p>
            <w:pPr>
              <w:pStyle w:val="null3"/>
            </w:pPr>
            <w:r>
              <w:rPr/>
              <w:t>标的清单 报价表</w:t>
            </w:r>
          </w:p>
        </w:tc>
      </w:tr>
      <w:tr>
        <w:tc>
          <w:tcPr>
            <w:tcW w:type="dxa" w:w="831"/>
          </w:tcPr>
          <w:p>
            <w:pPr>
              <w:pStyle w:val="null3"/>
            </w:pPr>
            <w:r>
              <w:rPr/>
              <w:t>4</w:t>
            </w:r>
          </w:p>
        </w:tc>
        <w:tc>
          <w:tcPr>
            <w:tcW w:type="dxa" w:w="2492"/>
          </w:tcPr>
          <w:p>
            <w:pPr>
              <w:pStyle w:val="null3"/>
            </w:pPr>
            <w:r>
              <w:rPr/>
              <w:t>磋商响应文件格式</w:t>
            </w:r>
          </w:p>
        </w:tc>
        <w:tc>
          <w:tcPr>
            <w:tcW w:type="dxa" w:w="3322"/>
          </w:tcPr>
          <w:p>
            <w:pPr>
              <w:pStyle w:val="null3"/>
            </w:pPr>
            <w:r>
              <w:rPr/>
              <w:t>应符合“磋商文件格式”要求。</w:t>
            </w:r>
          </w:p>
        </w:tc>
        <w:tc>
          <w:tcPr>
            <w:tcW w:type="dxa" w:w="1661"/>
          </w:tcPr>
          <w:p>
            <w:pPr>
              <w:pStyle w:val="null3"/>
            </w:pPr>
            <w:r>
              <w:rPr/>
              <w:t>服务内容及服务邀请应答表 法定代表人授权委托书 中小企业声明函 商务应答表 法定代表人身份证明 供应商应提交的相关资格证明材料 报价表 业绩一览表 响应文件封面 其他资料 残疾人福利性单位声明函 服务方案 标的清单 响应函 监狱企业的证明文件</w:t>
            </w:r>
          </w:p>
        </w:tc>
      </w:tr>
      <w:tr>
        <w:tc>
          <w:tcPr>
            <w:tcW w:type="dxa" w:w="831"/>
          </w:tcPr>
          <w:p>
            <w:pPr>
              <w:pStyle w:val="null3"/>
            </w:pPr>
            <w:r>
              <w:rPr/>
              <w:t>5</w:t>
            </w:r>
          </w:p>
        </w:tc>
        <w:tc>
          <w:tcPr>
            <w:tcW w:type="dxa" w:w="2492"/>
          </w:tcPr>
          <w:p>
            <w:pPr>
              <w:pStyle w:val="null3"/>
            </w:pPr>
            <w:r>
              <w:rPr/>
              <w:t>对磋商文件的响应程度</w:t>
            </w:r>
          </w:p>
        </w:tc>
        <w:tc>
          <w:tcPr>
            <w:tcW w:type="dxa" w:w="3322"/>
          </w:tcPr>
          <w:p>
            <w:pPr>
              <w:pStyle w:val="null3"/>
            </w:pPr>
            <w:r>
              <w:rPr/>
              <w:t>要求全面响应，不能有任何采购人不能接受的附加条件。</w:t>
            </w:r>
          </w:p>
        </w:tc>
        <w:tc>
          <w:tcPr>
            <w:tcW w:type="dxa" w:w="1661"/>
          </w:tcPr>
          <w:p>
            <w:pPr>
              <w:pStyle w:val="null3"/>
            </w:pPr>
            <w:r>
              <w:rPr/>
              <w:t>服务内容及服务邀请应答表 商务应答表 响应函</w:t>
            </w:r>
          </w:p>
        </w:tc>
      </w:tr>
      <w:tr>
        <w:tc>
          <w:tcPr>
            <w:tcW w:type="dxa" w:w="831"/>
          </w:tcPr>
          <w:p>
            <w:pPr>
              <w:pStyle w:val="null3"/>
            </w:pPr>
            <w:r>
              <w:rPr/>
              <w:t>6</w:t>
            </w:r>
          </w:p>
        </w:tc>
        <w:tc>
          <w:tcPr>
            <w:tcW w:type="dxa" w:w="2492"/>
          </w:tcPr>
          <w:p>
            <w:pPr>
              <w:pStyle w:val="null3"/>
            </w:pPr>
            <w:r>
              <w:rPr/>
              <w:t>服务期</w:t>
            </w:r>
          </w:p>
        </w:tc>
        <w:tc>
          <w:tcPr>
            <w:tcW w:type="dxa" w:w="3322"/>
          </w:tcPr>
          <w:p>
            <w:pPr>
              <w:pStyle w:val="null3"/>
            </w:pPr>
            <w:r>
              <w:rPr/>
              <w:t>应满足磋商文件中要求的服务期限。</w:t>
            </w:r>
          </w:p>
        </w:tc>
        <w:tc>
          <w:tcPr>
            <w:tcW w:type="dxa" w:w="1661"/>
          </w:tcPr>
          <w:p>
            <w:pPr>
              <w:pStyle w:val="null3"/>
            </w:pPr>
            <w:r>
              <w:rPr/>
              <w:t>响应函</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详细评审90.0000分</w:t>
            </w:r>
          </w:p>
          <w:p>
            <w:pPr>
              <w:pStyle w:val="null3"/>
            </w:pPr>
            <w:r>
              <w:rPr/>
              <w:t>报价得分10.0000分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垃圾清运实施方案</w:t>
            </w:r>
          </w:p>
        </w:tc>
        <w:tc>
          <w:tcPr>
            <w:tcW w:type="dxa" w:w="2492"/>
          </w:tcPr>
          <w:p>
            <w:pPr>
              <w:pStyle w:val="null3"/>
            </w:pPr>
            <w:r>
              <w:rPr/>
              <w:t>垃圾清运实施方案合理、严谨、有针对性，磋商小组根据供应商提供方案的完整性、实用性进行横向比较赋分，优计[15-20]分，良[10-15）分，一般计[0-10）分；如以上根据响应情况赋分，未响应不得分。</w:t>
            </w:r>
          </w:p>
        </w:tc>
        <w:tc>
          <w:tcPr>
            <w:tcW w:type="dxa" w:w="831"/>
          </w:tcPr>
          <w:p>
            <w:pPr>
              <w:pStyle w:val="null3"/>
              <w:jc w:val="right"/>
            </w:pPr>
            <w:r>
              <w:rPr/>
              <w:t>20.0000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拟投入该项目的专用清运工具及主要硬件设备</w:t>
            </w:r>
          </w:p>
        </w:tc>
        <w:tc>
          <w:tcPr>
            <w:tcW w:type="dxa" w:w="2492"/>
          </w:tcPr>
          <w:p>
            <w:pPr>
              <w:pStyle w:val="null3"/>
            </w:pPr>
            <w:r>
              <w:rPr/>
              <w:t>根据拟投入该项目的专用清运工具及主要硬件设备，磋商小组根据供应商提供清运工具及硬件设备完整性进行比较赋分，优计[10-15]分，良[5-10）分，一般计[0-5）分；如以上根据响应情况赋分，未响应不得分。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安全保障措施、应急预案、安全控制体系</w:t>
            </w:r>
          </w:p>
        </w:tc>
        <w:tc>
          <w:tcPr>
            <w:tcW w:type="dxa" w:w="2492"/>
          </w:tcPr>
          <w:p>
            <w:pPr>
              <w:pStyle w:val="null3"/>
            </w:pPr>
            <w:r>
              <w:rPr/>
              <w:t>有专门的安全保障措施、应急预案、安全控制体系，根据响应程度优计[10-15]分，良[5-10）分，一般[0-5）分；如以上根据响应情况赋分，未响应不得分。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人员安排、职责分配以及人员管理方案</w:t>
            </w:r>
          </w:p>
        </w:tc>
        <w:tc>
          <w:tcPr>
            <w:tcW w:type="dxa" w:w="2492"/>
          </w:tcPr>
          <w:p>
            <w:pPr>
              <w:pStyle w:val="null3"/>
            </w:pPr>
            <w:r>
              <w:rPr/>
              <w:t>提供详细的人员安排、职责分配以及人员管理方案，磋商小组根据供应商提供方案的完整性、实用性进行横向比较赋分，优计[10-15]分，良[5-10）分，一般计[0-5分）；如以上根据响应情况赋分，未响应不得分。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服务承诺</w:t>
            </w:r>
          </w:p>
        </w:tc>
        <w:tc>
          <w:tcPr>
            <w:tcW w:type="dxa" w:w="2492"/>
          </w:tcPr>
          <w:p>
            <w:pPr>
              <w:pStyle w:val="null3"/>
            </w:pPr>
            <w:r>
              <w:rPr/>
              <w:t>提供详细、具体、可实施的服务承诺，服务人员必须各尽其职，工作响应及时，能高效、优质的完成响应工作，，保证符合各项工作质量，根据响应程度优计[10-15]分，良计[5-10）分，一般计[0-5）分；如以上根据响应情况赋分，未响应不得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同类项目业绩</w:t>
            </w:r>
          </w:p>
        </w:tc>
        <w:tc>
          <w:tcPr>
            <w:tcW w:type="dxa" w:w="2492"/>
          </w:tcPr>
          <w:p>
            <w:pPr>
              <w:pStyle w:val="null3"/>
            </w:pPr>
            <w:r>
              <w:rPr/>
              <w:t>提供近三年同类项目业绩（以合同或中标通知书为准,复印件加盖公章）每份计2分，计满10分为止。（无相关业绩记0分）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商务应答表</w:t>
            </w:r>
          </w:p>
          <w:p>
            <w:pPr>
              <w:pStyle w:val="null3"/>
            </w:pPr>
            <w:r>
              <w:rPr/>
              <w:t>服务方案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满足竞争性磋商文件要求且评审报价最低的报价为评标基准价，其价格分为满分。其他供应商的价格分统一按照下列公式计算： 磋商报价得分=（评标基准价/最终磋商报价）×价格权值。</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ind w:firstLine="960"/>
      </w:pPr>
      <w:r>
        <w:rPr/>
        <w:t>详见附件：法定代表人身份证明</w:t>
      </w:r>
    </w:p>
    <w:p>
      <w:pPr>
        <w:pStyle w:val="null3"/>
        <w:ind w:firstLine="960"/>
      </w:pPr>
      <w:r>
        <w:rPr/>
        <w:t>详见附件：法定代表人授权委托书</w:t>
      </w:r>
    </w:p>
    <w:p>
      <w:pPr>
        <w:pStyle w:val="null3"/>
        <w:ind w:firstLine="960"/>
      </w:pPr>
      <w:r>
        <w:rPr/>
        <w:t>详见附件：业绩一览表</w:t>
      </w:r>
    </w:p>
    <w:p>
      <w:pPr>
        <w:pStyle w:val="null3"/>
        <w:ind w:firstLine="960"/>
      </w:pPr>
      <w:r>
        <w:rPr/>
        <w:t>详见附件：其他资料</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详见附件：服务合同(1).docx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