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坡头街道2024年农村生活垃圾收集处理清运项目</w:t>
      </w:r>
    </w:p>
    <w:p>
      <w:pPr>
        <w:pStyle w:val="null3"/>
        <w:jc w:val="center"/>
        <w:outlineLvl w:val="2"/>
      </w:pPr>
      <w:r>
        <w:rPr>
          <w:sz w:val="28"/>
          <w:b/>
        </w:rPr>
        <w:t>采购项目编号：</w:t>
      </w:r>
      <w:r>
        <w:rPr>
          <w:sz w:val="28"/>
          <w:b/>
        </w:rPr>
        <w:t>DZDL-2024-055Z</w:t>
      </w:r>
      <w:r>
        <w:br/>
      </w:r>
      <w:r>
        <w:br/>
      </w:r>
      <w:r>
        <w:br/>
      </w:r>
    </w:p>
    <w:p>
      <w:pPr>
        <w:pStyle w:val="null3"/>
        <w:jc w:val="center"/>
        <w:outlineLvl w:val="2"/>
      </w:pPr>
      <w:r>
        <w:rPr>
          <w:sz w:val="28"/>
          <w:b/>
        </w:rPr>
        <w:t>铜川市新区坡头街道办事处</w:t>
      </w:r>
    </w:p>
    <w:p>
      <w:pPr>
        <w:pStyle w:val="null3"/>
        <w:jc w:val="center"/>
        <w:outlineLvl w:val="2"/>
      </w:pPr>
      <w:r>
        <w:rPr>
          <w:sz w:val="28"/>
          <w:b/>
        </w:rPr>
        <w:t>中建鼎正项目管理有限公司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中建鼎正项目管理有限公司</w:t>
      </w:r>
      <w:r>
        <w:rPr/>
        <w:t>（以下简称“代理机构”）受</w:t>
      </w:r>
      <w:r>
        <w:rPr/>
        <w:t>铜川市新区坡头街道办事处</w:t>
      </w:r>
      <w:r>
        <w:rPr/>
        <w:t>委托，拟对</w:t>
      </w:r>
      <w:r>
        <w:rPr/>
        <w:t>坡头街道2024年农村生活垃圾收集处理清运项目</w:t>
      </w:r>
      <w:r>
        <w:rPr/>
        <w:t>采用竞争性磋商采购方式进行采购，兹邀请供应商参加本项目的竞争性磋商。</w:t>
      </w:r>
    </w:p>
    <w:p>
      <w:pPr>
        <w:pStyle w:val="null3"/>
        <w:outlineLvl w:val="2"/>
      </w:pPr>
      <w:r>
        <w:rPr>
          <w:sz w:val="28"/>
          <w:b/>
        </w:rPr>
        <w:t>一、项目编号：</w:t>
      </w:r>
      <w:r>
        <w:rPr>
          <w:sz w:val="28"/>
          <w:b/>
        </w:rPr>
        <w:t>DZDL-2024-055Z</w:t>
      </w:r>
    </w:p>
    <w:p>
      <w:pPr>
        <w:pStyle w:val="null3"/>
        <w:outlineLvl w:val="2"/>
      </w:pPr>
      <w:r>
        <w:rPr>
          <w:sz w:val="28"/>
          <w:b/>
        </w:rPr>
        <w:t>二、项目名称：</w:t>
      </w:r>
      <w:r>
        <w:rPr>
          <w:sz w:val="28"/>
          <w:b/>
        </w:rPr>
        <w:t>坡头街道2024年农村生活垃圾收集处理清运项目</w:t>
      </w:r>
    </w:p>
    <w:p>
      <w:pPr>
        <w:pStyle w:val="null3"/>
        <w:outlineLvl w:val="2"/>
      </w:pPr>
      <w:r>
        <w:rPr>
          <w:sz w:val="28"/>
          <w:b/>
        </w:rPr>
        <w:t>三、磋商项目简介</w:t>
      </w:r>
    </w:p>
    <w:p>
      <w:pPr>
        <w:pStyle w:val="null3"/>
        <w:ind w:firstLine="480"/>
      </w:pPr>
      <w:r>
        <w:rPr/>
        <w:t>本次垃圾清运里程85公里，共31个村民小组的生活垃圾屋、建筑垃圾台及垃圾桶、垃圾点的清理及各村主干道15米内出现的突发堆积垃圾，具体包括7个村和1个社区里面的35个点位。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采购包1（坡头街道2024农村生活垃圾收集处理清运项目）：属于专门面向中小企业采购。</w:t>
      </w:r>
    </w:p>
    <w:p>
      <w:pPr>
        <w:pStyle w:val="null3"/>
        <w:ind w:firstLine="480"/>
      </w:pPr>
      <w:r>
        <w:rPr/>
        <w:t>（三）本项目的特定资格要求：</w:t>
      </w:r>
    </w:p>
    <w:p>
      <w:pPr>
        <w:pStyle w:val="null3"/>
      </w:pPr>
      <w:r>
        <w:rPr/>
        <w:t>采购包1：</w:t>
      </w:r>
    </w:p>
    <w:p>
      <w:pPr>
        <w:pStyle w:val="null3"/>
      </w:pPr>
      <w:r>
        <w:rPr/>
        <w:t>1、特定资格要求：（1）、具有独立承担民事责任能力的法人、其他组织或自然人，并出具合法有效的营业执照或事业单位法人证书等国家规定的相关证明，自然人参与的提供其身份证明； （2）、财务状况报告：提供具有财务审计资质单位出具的2022或2023年度财务报告或磋商前六个月内其基本账户银行出具的资信证明或政府采购信用担保机构出具的磋商担保函；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铜川市新区坡头街道办事处</w:t>
      </w:r>
    </w:p>
    <w:p>
      <w:pPr>
        <w:pStyle w:val="null3"/>
      </w:pPr>
      <w:r>
        <w:rPr/>
        <w:t xml:space="preserve"> 地址： </w:t>
      </w:r>
      <w:r>
        <w:rPr/>
        <w:t>铜川市新区坡头街道76号</w:t>
      </w:r>
    </w:p>
    <w:p>
      <w:pPr>
        <w:pStyle w:val="null3"/>
      </w:pPr>
      <w:r>
        <w:rPr/>
        <w:t xml:space="preserve"> 邮编： </w:t>
      </w:r>
      <w:r>
        <w:rPr/>
        <w:t>727031</w:t>
      </w:r>
    </w:p>
    <w:p>
      <w:pPr>
        <w:pStyle w:val="null3"/>
      </w:pPr>
      <w:r>
        <w:rPr/>
        <w:t xml:space="preserve"> 联系人： </w:t>
      </w:r>
      <w:r>
        <w:rPr/>
        <w:t>付航</w:t>
      </w:r>
    </w:p>
    <w:p>
      <w:pPr>
        <w:pStyle w:val="null3"/>
      </w:pPr>
      <w:r>
        <w:rPr/>
        <w:t xml:space="preserve"> 联系电话： </w:t>
      </w:r>
      <w:r>
        <w:rPr/>
        <w:t>18791492797</w:t>
      </w:r>
    </w:p>
    <w:p>
      <w:pPr>
        <w:pStyle w:val="null3"/>
        <w:outlineLvl w:val="3"/>
      </w:pPr>
      <w:r>
        <w:rPr>
          <w:sz w:val="24"/>
          <w:b/>
        </w:rPr>
        <w:t>代理机构：</w:t>
      </w:r>
      <w:r>
        <w:rPr>
          <w:sz w:val="24"/>
          <w:b/>
        </w:rPr>
        <w:t>中建鼎正项目管理有限公司</w:t>
      </w:r>
    </w:p>
    <w:p>
      <w:pPr>
        <w:pStyle w:val="null3"/>
      </w:pPr>
      <w:r>
        <w:rPr/>
        <w:t xml:space="preserve"> 地址： </w:t>
      </w:r>
      <w:r>
        <w:rPr/>
        <w:t>陕西省西安市雁塔区高新区科技路金桥国际广场12009号</w:t>
      </w:r>
    </w:p>
    <w:p>
      <w:pPr>
        <w:pStyle w:val="null3"/>
      </w:pPr>
      <w:r>
        <w:rPr/>
        <w:t xml:space="preserve"> 邮编： </w:t>
      </w:r>
      <w:r>
        <w:rPr/>
        <w:t>710000</w:t>
      </w:r>
    </w:p>
    <w:p>
      <w:pPr>
        <w:pStyle w:val="null3"/>
      </w:pPr>
      <w:r>
        <w:rPr/>
        <w:t xml:space="preserve"> 联系人： </w:t>
      </w:r>
      <w:r>
        <w:rPr/>
        <w:t>安文彬</w:t>
      </w:r>
    </w:p>
    <w:p>
      <w:pPr>
        <w:pStyle w:val="null3"/>
      </w:pPr>
      <w:r>
        <w:rPr/>
        <w:t xml:space="preserve"> 联系电话： </w:t>
      </w:r>
      <w:r>
        <w:rPr/>
        <w:t>18909195425</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铜川市新区坡头街道办事处</w:t>
      </w:r>
      <w:r>
        <w:rPr/>
        <w:t>和</w:t>
      </w:r>
      <w:r>
        <w:rPr/>
        <w:t>中建鼎正项目管理有限公司</w:t>
      </w:r>
      <w:r>
        <w:rPr/>
        <w:t>享有。对磋商文件中供应商参加本次政府采购活动应当具备的条件，磋商项目技术、服务、商务及其他要求，评审细则及标准由</w:t>
      </w:r>
      <w:r>
        <w:rPr/>
        <w:t>铜川市新区坡头街道办事处</w:t>
      </w:r>
      <w:r>
        <w:rPr/>
        <w:t>负责解释。除上述磋商文件内容，其他内容由</w:t>
      </w:r>
      <w:r>
        <w:rPr/>
        <w:t>中建鼎正项目管理有限公司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铜川市新区坡头街道办事处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中建鼎正项目管理有限公司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满足合同及采购人要求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中建鼎正项目管理有限公司</w:t>
      </w:r>
      <w:r>
        <w:rPr/>
        <w:t xml:space="preserve"> 负责答复；供应商对除采购需求外的采购文件的询问、质疑由</w:t>
      </w:r>
      <w:r>
        <w:rPr/>
        <w:t>中建鼎正项目管理有限公司</w:t>
      </w:r>
      <w:r>
        <w:rPr/>
        <w:t xml:space="preserve"> 负责答复；供应商对采购过程、采购结果的询问、质疑由 </w:t>
      </w:r>
      <w:r>
        <w:rPr/>
        <w:t>中建鼎正项目管理有限公司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联系人：安文彬</w:t>
      </w:r>
    </w:p>
    <w:p>
      <w:pPr>
        <w:pStyle w:val="null3"/>
      </w:pPr>
      <w:r>
        <w:rPr/>
        <w:t>联系电话：18909195425</w:t>
      </w:r>
    </w:p>
    <w:p>
      <w:pPr>
        <w:pStyle w:val="null3"/>
      </w:pPr>
      <w:r>
        <w:rPr/>
        <w:t>地址：铜川市新区金谟西路崇文街64号</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本次垃圾清运里程85公里，共31个村民小组的生活垃圾屋、建筑垃圾台及垃圾桶、垃圾点的清理及各村主干道15米内出现的突发堆积垃圾，具体包括7个村和1个社区里面的35个点位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垃圾处理服务</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标的名称：垃圾处理服务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sz w:val="18"/>
                <w:b/>
                <w:color w:val="000000"/>
              </w:rPr>
              <w:t>一、基本情况：</w:t>
            </w:r>
          </w:p>
          <w:p>
            <w:pPr>
              <w:pStyle w:val="null3"/>
              <w:ind w:firstLine="480"/>
              <w:jc w:val="both"/>
            </w:pPr>
            <w:r>
              <w:rPr>
                <w:rFonts w:ascii="simsun" w:hAnsi="simsun" w:cs="simsun" w:eastAsia="simsun"/>
                <w:sz w:val="18"/>
                <w:color w:val="000000"/>
              </w:rPr>
              <w:t>1、范围：</w:t>
            </w:r>
          </w:p>
          <w:p>
            <w:pPr>
              <w:pStyle w:val="null3"/>
              <w:ind w:firstLine="560"/>
              <w:jc w:val="both"/>
            </w:pPr>
            <w:r>
              <w:rPr>
                <w:rFonts w:ascii="宋体" w:hAnsi="宋体" w:cs="宋体" w:eastAsia="宋体"/>
                <w:sz w:val="18"/>
                <w:color w:val="000000"/>
              </w:rPr>
              <w:t>本次垃圾清运</w:t>
            </w:r>
            <w:r>
              <w:rPr>
                <w:rFonts w:ascii="宋体" w:hAnsi="宋体" w:cs="宋体" w:eastAsia="宋体"/>
                <w:sz w:val="18"/>
                <w:color w:val="000000"/>
              </w:rPr>
              <w:t>里程</w:t>
            </w:r>
            <w:r>
              <w:rPr>
                <w:rFonts w:ascii="宋体" w:hAnsi="宋体" w:cs="宋体" w:eastAsia="宋体"/>
                <w:sz w:val="18"/>
                <w:color w:val="000000"/>
              </w:rPr>
              <w:t>85公里，共31个村民小组的生活垃圾屋、建筑垃圾台及垃圾桶、垃圾点的清理及各村主干道15米内出现的突发堆积垃圾，具体包括7个村和1个社区里面的35个点位：</w:t>
            </w:r>
          </w:p>
          <w:p>
            <w:pPr>
              <w:pStyle w:val="null3"/>
              <w:ind w:firstLine="560"/>
              <w:jc w:val="both"/>
            </w:pPr>
            <w:r>
              <w:rPr>
                <w:rFonts w:ascii="宋体" w:hAnsi="宋体" w:cs="宋体" w:eastAsia="宋体"/>
                <w:sz w:val="18"/>
                <w:color w:val="000000"/>
              </w:rPr>
              <w:t>锦华社区（电厂小北门、街道垃圾屋、垃圾中转站、农贸市场）</w:t>
            </w:r>
          </w:p>
          <w:p>
            <w:pPr>
              <w:pStyle w:val="null3"/>
              <w:ind w:firstLine="560"/>
              <w:jc w:val="both"/>
            </w:pPr>
            <w:r>
              <w:rPr>
                <w:rFonts w:ascii="宋体" w:hAnsi="宋体" w:cs="宋体" w:eastAsia="宋体"/>
                <w:sz w:val="18"/>
                <w:color w:val="000000"/>
              </w:rPr>
              <w:t>白草坡村（白草坡组、原村组、孙家庄组）</w:t>
            </w:r>
          </w:p>
          <w:p>
            <w:pPr>
              <w:pStyle w:val="null3"/>
              <w:ind w:firstLine="560"/>
              <w:jc w:val="both"/>
            </w:pPr>
            <w:r>
              <w:rPr>
                <w:rFonts w:ascii="宋体" w:hAnsi="宋体" w:cs="宋体" w:eastAsia="宋体"/>
                <w:sz w:val="18"/>
                <w:color w:val="000000"/>
              </w:rPr>
              <w:t>华原村（华东组、华西组、老城组、新城组）</w:t>
            </w:r>
          </w:p>
          <w:p>
            <w:pPr>
              <w:pStyle w:val="null3"/>
              <w:ind w:firstLine="560"/>
              <w:jc w:val="both"/>
            </w:pPr>
            <w:r>
              <w:rPr>
                <w:rFonts w:ascii="宋体" w:hAnsi="宋体" w:cs="宋体" w:eastAsia="宋体"/>
                <w:sz w:val="18"/>
                <w:color w:val="000000"/>
              </w:rPr>
              <w:t>冯兰村（冯家组、兰家组、楼东组、楼西组）</w:t>
            </w:r>
          </w:p>
          <w:p>
            <w:pPr>
              <w:pStyle w:val="null3"/>
              <w:ind w:firstLine="560"/>
              <w:jc w:val="both"/>
            </w:pPr>
            <w:r>
              <w:rPr>
                <w:rFonts w:ascii="宋体" w:hAnsi="宋体" w:cs="宋体" w:eastAsia="宋体"/>
                <w:sz w:val="18"/>
                <w:color w:val="000000"/>
              </w:rPr>
              <w:t>上楼村（上楼组、尤家咀新村、老村）</w:t>
            </w:r>
          </w:p>
          <w:p>
            <w:pPr>
              <w:pStyle w:val="null3"/>
              <w:ind w:firstLine="560"/>
              <w:jc w:val="both"/>
            </w:pPr>
            <w:r>
              <w:rPr>
                <w:rFonts w:ascii="宋体" w:hAnsi="宋体" w:cs="宋体" w:eastAsia="宋体"/>
                <w:sz w:val="18"/>
                <w:color w:val="000000"/>
              </w:rPr>
              <w:t>牛村（柳树咀组、牛河组、牛上组、牛下组）</w:t>
            </w:r>
          </w:p>
          <w:p>
            <w:pPr>
              <w:pStyle w:val="null3"/>
              <w:ind w:firstLine="560"/>
              <w:jc w:val="both"/>
            </w:pPr>
            <w:r>
              <w:rPr>
                <w:rFonts w:ascii="宋体" w:hAnsi="宋体" w:cs="宋体" w:eastAsia="宋体"/>
                <w:sz w:val="18"/>
                <w:color w:val="000000"/>
              </w:rPr>
              <w:t>张沟村（上席坡组、咀字一组、咀字二组）</w:t>
            </w:r>
          </w:p>
          <w:p>
            <w:pPr>
              <w:pStyle w:val="null3"/>
              <w:ind w:firstLine="560"/>
              <w:jc w:val="both"/>
            </w:pPr>
            <w:r>
              <w:rPr>
                <w:rFonts w:ascii="宋体" w:hAnsi="宋体" w:cs="宋体" w:eastAsia="宋体"/>
                <w:sz w:val="18"/>
                <w:color w:val="000000"/>
              </w:rPr>
              <w:t>长命村（长命一组至长命十组）</w:t>
            </w:r>
          </w:p>
          <w:p>
            <w:pPr>
              <w:pStyle w:val="null3"/>
              <w:jc w:val="both"/>
            </w:pPr>
            <w:r>
              <w:rPr>
                <w:rFonts w:ascii="simsun" w:hAnsi="simsun" w:cs="simsun" w:eastAsia="simsun"/>
                <w:sz w:val="18"/>
                <w:color w:val="000000"/>
              </w:rPr>
              <w:t xml:space="preserve">  2、清理期：日产日清</w:t>
            </w:r>
          </w:p>
          <w:p>
            <w:pPr>
              <w:pStyle w:val="null3"/>
              <w:ind w:firstLine="480"/>
              <w:jc w:val="both"/>
            </w:pPr>
            <w:r>
              <w:rPr>
                <w:rFonts w:ascii="simsun" w:hAnsi="simsun" w:cs="simsun" w:eastAsia="simsun"/>
                <w:sz w:val="18"/>
                <w:color w:val="000000"/>
              </w:rPr>
              <w:t>3、服务期：一年</w:t>
            </w:r>
          </w:p>
          <w:p>
            <w:pPr>
              <w:pStyle w:val="null3"/>
              <w:spacing w:after="120"/>
              <w:ind w:firstLine="480"/>
              <w:jc w:val="both"/>
            </w:pPr>
            <w:r>
              <w:rPr>
                <w:rFonts w:ascii="simsun" w:hAnsi="simsun" w:cs="simsun" w:eastAsia="simsun"/>
                <w:sz w:val="18"/>
                <w:color w:val="000000"/>
              </w:rPr>
              <w:t>4、采购预算：800000.00元</w:t>
            </w:r>
          </w:p>
          <w:p>
            <w:pPr>
              <w:pStyle w:val="null3"/>
              <w:jc w:val="both"/>
            </w:pPr>
            <w:r>
              <w:rPr>
                <w:rFonts w:ascii="simsun" w:hAnsi="simsun" w:cs="simsun" w:eastAsia="simsun"/>
                <w:sz w:val="18"/>
                <w:b/>
              </w:rPr>
              <w:t xml:space="preserve"> </w:t>
            </w:r>
            <w:r>
              <w:rPr>
                <w:rFonts w:ascii="simsun" w:hAnsi="simsun" w:cs="simsun" w:eastAsia="simsun"/>
                <w:sz w:val="18"/>
                <w:b/>
                <w:color w:val="000000"/>
              </w:rPr>
              <w:t>二、工作任务及标准：</w:t>
            </w:r>
          </w:p>
          <w:p>
            <w:pPr>
              <w:pStyle w:val="null3"/>
              <w:ind w:firstLine="480"/>
              <w:jc w:val="both"/>
            </w:pPr>
            <w:r>
              <w:rPr>
                <w:rFonts w:ascii="simsun" w:hAnsi="simsun" w:cs="simsun" w:eastAsia="simsun"/>
                <w:sz w:val="18"/>
                <w:color w:val="000000"/>
              </w:rPr>
              <w:t>1、垃圾清运公司负责对各村组主干路和通村路旁各类垃圾台、垃圾桶、垃圾点的清运，做到日产日清，并将装载时散落垃圾清理干净，垃圾桶摆放整齐。同时做好坡头街道办事处安排的其他工作、重大活动的环境卫生保障。运输时严格按照相关规定进行处理。拉运途中密闭运输，不抛洒、不扬尘、不中途乱倒。</w:t>
            </w:r>
          </w:p>
          <w:p>
            <w:pPr>
              <w:pStyle w:val="null3"/>
              <w:ind w:firstLine="480"/>
              <w:jc w:val="both"/>
            </w:pPr>
            <w:r>
              <w:rPr>
                <w:rFonts w:ascii="simsun" w:hAnsi="simsun" w:cs="simsun" w:eastAsia="simsun"/>
                <w:sz w:val="18"/>
                <w:color w:val="000000"/>
              </w:rPr>
              <w:t>2、垃圾清运工作中，工作人员与车辆应有明显的保洁标志、标识，机械车辆要保持车辆容貌整洁，并每日对车辆进行消杀。运输过程中遵守交通交管部门的有关规定。</w:t>
            </w:r>
          </w:p>
          <w:p>
            <w:pPr>
              <w:pStyle w:val="null3"/>
              <w:ind w:firstLine="480"/>
              <w:jc w:val="both"/>
            </w:pPr>
            <w:r>
              <w:rPr>
                <w:rFonts w:ascii="simsun" w:hAnsi="simsun" w:cs="simsun" w:eastAsia="simsun"/>
                <w:sz w:val="18"/>
                <w:color w:val="000000"/>
              </w:rPr>
              <w:t>3、清运垃圾过程中，要爱护垃圾屋、垃圾台、垃圾桶等公共环卫设施。</w:t>
            </w:r>
          </w:p>
          <w:p>
            <w:pPr>
              <w:pStyle w:val="null3"/>
              <w:ind w:firstLine="480"/>
              <w:jc w:val="both"/>
            </w:pPr>
            <w:r>
              <w:rPr>
                <w:rFonts w:ascii="simsun" w:hAnsi="simsun" w:cs="simsun" w:eastAsia="simsun"/>
                <w:sz w:val="18"/>
                <w:color w:val="000000"/>
              </w:rPr>
              <w:t>4、垃圾清运过程当中，工作人员应规范操作机械，因不安全作业造成的事故损失等，由垃圾清运公司自行承担。</w:t>
            </w:r>
          </w:p>
          <w:p>
            <w:pPr>
              <w:pStyle w:val="null3"/>
              <w:spacing w:after="120"/>
              <w:ind w:firstLine="480"/>
              <w:jc w:val="left"/>
            </w:pPr>
            <w:r>
              <w:rPr>
                <w:rFonts w:ascii="simsun" w:hAnsi="simsun" w:cs="simsun" w:eastAsia="simsun"/>
                <w:sz w:val="18"/>
                <w:color w:val="000000"/>
              </w:rPr>
              <w:t>5、垃圾清运公司应及时自查，突出工作重点，灵活工作方式，确保工作任务落到实处。定期对工作人员岗位培训，提高工作人员业务技能和工作责任心。</w:t>
            </w:r>
          </w:p>
        </w:tc>
      </w:tr>
    </w:tbl>
    <w:p>
      <w:pPr>
        <w:pStyle w:val="null3"/>
        <w:outlineLvl w:val="2"/>
      </w:pPr>
      <w:r>
        <w:rPr>
          <w:sz w:val="28"/>
          <w:b/>
        </w:rPr>
        <w:t>3.2.3人员配置要求</w:t>
      </w:r>
    </w:p>
    <w:p>
      <w:pPr>
        <w:pStyle w:val="null3"/>
      </w:pPr>
      <w:r>
        <w:rPr/>
        <w:t>采购包1：</w:t>
      </w:r>
    </w:p>
    <w:p>
      <w:pPr>
        <w:pStyle w:val="null3"/>
      </w:pPr>
      <w:r>
        <w:rPr/>
        <w:t>详见磋商办法评审细则及标准</w:t>
      </w:r>
    </w:p>
    <w:p>
      <w:pPr>
        <w:pStyle w:val="null3"/>
        <w:outlineLvl w:val="2"/>
      </w:pPr>
      <w:r>
        <w:rPr>
          <w:sz w:val="28"/>
          <w:b/>
        </w:rPr>
        <w:t>3.2.4设施设备要求</w:t>
      </w:r>
    </w:p>
    <w:p>
      <w:pPr>
        <w:pStyle w:val="null3"/>
      </w:pPr>
      <w:r>
        <w:rPr/>
        <w:t>采购包1：</w:t>
      </w:r>
    </w:p>
    <w:p>
      <w:pPr>
        <w:pStyle w:val="null3"/>
      </w:pPr>
      <w:r>
        <w:rPr/>
        <w:t>满足采购合同要求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满足合同及采购人要求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按月支付（具体以实际签订合同为准）</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满足合同及采购人要求</w:t>
      </w:r>
    </w:p>
    <w:p>
      <w:pPr>
        <w:pStyle w:val="null3"/>
        <w:outlineLvl w:val="2"/>
      </w:pPr>
      <w:r>
        <w:rPr>
          <w:sz w:val="28"/>
          <w:b/>
        </w:rPr>
        <w:t>3.4其他要求</w:t>
      </w:r>
    </w:p>
    <w:p>
      <w:pPr>
        <w:pStyle w:val="null3"/>
      </w:pPr>
      <w:r>
        <w:rPr/>
        <w:t>1、付款条件说明： 按月支付（具体以实际签订合同为准） ； 2、服务期限：1年； 3、服务地点：采购人指定地点。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（2）、财务状况报告：提供具有财务审计资质单位出具的2022或2023年度财务报告或磋商前六个月内其基本账户银行出具的资信证明或政府采购信用担保机构出具的磋商担保函；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磋商响应文件上法定代表人或被授权人的签字齐全并加盖公章。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应符合“磋商文件格式”要求。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对磋商文件的响应程度</w:t>
            </w:r>
          </w:p>
        </w:tc>
        <w:tc>
          <w:tcPr>
            <w:tcW w:type="dxa" w:w="3322"/>
          </w:tcPr>
          <w:p>
            <w:pPr>
              <w:pStyle w:val="null3"/>
            </w:pPr>
            <w:r>
              <w:rPr/>
              <w:t>求全面响应，不能有任何采购人不能接受的附加条件。</w:t>
            </w:r>
          </w:p>
        </w:tc>
        <w:tc>
          <w:tcPr>
            <w:tcW w:type="dxa" w:w="1661"/>
          </w:tcPr>
          <w:p>
            <w:pPr>
              <w:pStyle w:val="null3"/>
            </w:pPr>
            <w:r>
              <w:rPr/>
              <w:t>服务内容及服务邀请应答表 商务应答表 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应满足磋商文件中要求的服务期限。</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垃圾清运实施方案</w:t>
            </w:r>
          </w:p>
        </w:tc>
        <w:tc>
          <w:tcPr>
            <w:tcW w:type="dxa" w:w="2492"/>
          </w:tcPr>
          <w:p>
            <w:pPr>
              <w:pStyle w:val="null3"/>
            </w:pPr>
            <w:r>
              <w:rPr/>
              <w:t>垃圾清运实施方案合理、严谨、有针对性，磋商小组根据供应商提供方案的完整性、实用性进行横向比较赋分，优计[15-20]分，良[10-15）分，一般计[0-10）分；如以上根据响应情况赋分，未响应不得分。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拟投入该项目的专用清运工具及主要硬件设备</w:t>
            </w:r>
          </w:p>
        </w:tc>
        <w:tc>
          <w:tcPr>
            <w:tcW w:type="dxa" w:w="2492"/>
          </w:tcPr>
          <w:p>
            <w:pPr>
              <w:pStyle w:val="null3"/>
            </w:pPr>
            <w:r>
              <w:rPr/>
              <w:t>根据拟投入该项目的专用清运工具及主要硬件设备，磋商小组根据供应商提供清运工具及硬件设备完整性进行比较赋分，优计[10-15]分，良[5-10）分，一般计[0-5）分；如以上根据响应情况赋分，未响应不得分。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安全保障措施、应急预案、安全控制体系</w:t>
            </w:r>
          </w:p>
        </w:tc>
        <w:tc>
          <w:tcPr>
            <w:tcW w:type="dxa" w:w="2492"/>
          </w:tcPr>
          <w:p>
            <w:pPr>
              <w:pStyle w:val="null3"/>
            </w:pPr>
            <w:r>
              <w:rPr/>
              <w:t>有专门的安全保障措施、应急预案、安全控制体系，根据响应程度优计[10-15]分，良[5-10）分，一般[0-5）分；如以上根据响应情况赋分，未响应不得分。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人员安排、职责分配以及人员管理方案</w:t>
            </w:r>
          </w:p>
        </w:tc>
        <w:tc>
          <w:tcPr>
            <w:tcW w:type="dxa" w:w="2492"/>
          </w:tcPr>
          <w:p>
            <w:pPr>
              <w:pStyle w:val="null3"/>
            </w:pPr>
            <w:r>
              <w:rPr/>
              <w:t>提供详细的人员安排、职责分配以及人员管理方案，磋商小组根据供应商提供方案的完整性、实用性进行横向比较赋分，优计[10-15]分，良[5-10）分，一般计[0-5分）；如以上根据响应情况赋分，未响应不得分。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提供详细、具体、可实施的服务承诺，服务人员必须各尽其职，工作响应及时，能高效、优质的完成响应工作，，保证符合各项工作质量，根据响应程度优计[10-15]分，良计[5-10）分，一般计[0-5）分；如以上根据响应情况赋分，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同类项目业绩</w:t>
            </w:r>
          </w:p>
        </w:tc>
        <w:tc>
          <w:tcPr>
            <w:tcW w:type="dxa" w:w="2492"/>
          </w:tcPr>
          <w:p>
            <w:pPr>
              <w:pStyle w:val="null3"/>
            </w:pPr>
            <w:r>
              <w:rPr/>
              <w:t>提供近三年同类项目业绩（以合同或中标通知书为准,复印件加盖公章）每份计2分，计满10分为止。（无相关业绩记0分）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满足竞争性磋商文件要求且评审报价最低的报价为评标基准价，其价格分为满分。其他供应商的价格分统一按照下列公式计算： 磋商报价得分=（评标基准价/最终磋商报价）×价格权值。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