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版本号：ZYZB-CG202542120251017001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新区坡头街道区域养老服务中心项目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ZYZB-CG2025421</w:t>
      </w:r>
      <w:r>
        <w:br/>
      </w:r>
      <w:r>
        <w:br/>
      </w:r>
      <w:r>
        <w:br/>
      </w:r>
    </w:p>
    <w:p>
      <w:pPr>
        <w:pStyle w:val="null3"/>
        <w:jc w:val="center"/>
        <w:outlineLvl w:val="2"/>
      </w:pPr>
      <w:r>
        <w:rPr>
          <w:rFonts w:ascii="仿宋_GB2312" w:hAnsi="仿宋_GB2312" w:cs="仿宋_GB2312" w:eastAsia="仿宋_GB2312"/>
          <w:sz w:val="28"/>
          <w:b/>
        </w:rPr>
        <w:t>铜川市新区坡头街道办事处</w:t>
      </w:r>
    </w:p>
    <w:p>
      <w:pPr>
        <w:pStyle w:val="null3"/>
        <w:jc w:val="center"/>
        <w:outlineLvl w:val="2"/>
      </w:pPr>
      <w:r>
        <w:rPr>
          <w:rFonts w:ascii="仿宋_GB2312" w:hAnsi="仿宋_GB2312" w:cs="仿宋_GB2312" w:eastAsia="仿宋_GB2312"/>
          <w:sz w:val="28"/>
          <w:b/>
        </w:rPr>
        <w:t>陕西中远招标咨询有限公司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陕西中远招标咨询有限公司</w:t>
      </w:r>
      <w:r>
        <w:rPr>
          <w:rFonts w:ascii="仿宋_GB2312" w:hAnsi="仿宋_GB2312" w:cs="仿宋_GB2312" w:eastAsia="仿宋_GB2312"/>
        </w:rPr>
        <w:t>（以下简称“代理机构”）受</w:t>
      </w:r>
      <w:r>
        <w:rPr>
          <w:rFonts w:ascii="仿宋_GB2312" w:hAnsi="仿宋_GB2312" w:cs="仿宋_GB2312" w:eastAsia="仿宋_GB2312"/>
        </w:rPr>
        <w:t>铜川市新区坡头街道办事处</w:t>
      </w:r>
      <w:r>
        <w:rPr>
          <w:rFonts w:ascii="仿宋_GB2312" w:hAnsi="仿宋_GB2312" w:cs="仿宋_GB2312" w:eastAsia="仿宋_GB2312"/>
        </w:rPr>
        <w:t>委托，拟对</w:t>
      </w:r>
      <w:r>
        <w:rPr>
          <w:rFonts w:ascii="仿宋_GB2312" w:hAnsi="仿宋_GB2312" w:cs="仿宋_GB2312" w:eastAsia="仿宋_GB2312"/>
        </w:rPr>
        <w:t>新区坡头街道区域养老服务中心项目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ZYZB-CG2025421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新区坡头街道区域养老服务中心项目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铜川市新区坡头街道原敬老院内拟建铜川市新区坡头街道区域养老服务中心;主要功能或目标:新区坡头街道区域养老服务;需满足的要求:满足采购人要求。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采购包1（新区坡头街道区域养老服务中心项目）：属于专门面向中小企业采购。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1、主体情况：有独立承担民事责任能力的法人、其他组织或自然人，并出具合法有效的营业执照或事业单位法人证书等国家规定的相关证明，自然人参与的提供其身份证明书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3、税收缴纳证明：提供投标截止日前一年内已缴纳的至少一个月的纳税证明或完税证明，依法免税的单位应提供相关证明材料。</w:t>
      </w:r>
    </w:p>
    <w:p>
      <w:pPr>
        <w:pStyle w:val="null3"/>
      </w:pPr>
      <w:r>
        <w:rPr>
          <w:rFonts w:ascii="仿宋_GB2312" w:hAnsi="仿宋_GB2312" w:cs="仿宋_GB2312" w:eastAsia="仿宋_GB2312"/>
        </w:rPr>
        <w:t>4、企业资质：供应商须具有建筑工程施工总承包三级及以上资质，并具有建设行政主管部门颁发的有效安全生产许可证。</w:t>
      </w:r>
    </w:p>
    <w:p>
      <w:pPr>
        <w:pStyle w:val="null3"/>
      </w:pPr>
      <w:r>
        <w:rPr>
          <w:rFonts w:ascii="仿宋_GB2312" w:hAnsi="仿宋_GB2312" w:cs="仿宋_GB2312" w:eastAsia="仿宋_GB2312"/>
        </w:rPr>
        <w:t>5、拟派项目负责人资质和专业要求：须具备建筑工程专业二级及以上注册建造师执业资格，同时具备行政主管部门颁发的有效的安全生产考核合格证书（B证），在本单位注册且无在建工程。</w:t>
      </w:r>
    </w:p>
    <w:p>
      <w:pPr>
        <w:pStyle w:val="null3"/>
      </w:pPr>
      <w:r>
        <w:rPr>
          <w:rFonts w:ascii="仿宋_GB2312" w:hAnsi="仿宋_GB2312" w:cs="仿宋_GB2312" w:eastAsia="仿宋_GB2312"/>
        </w:rPr>
        <w:t>6、入陕备案：供应商及拟派本项目经理需在陕西省住房和城乡建设厅网“陕西省建筑市场监管与诚信发布平台”录入信息且无不良行为，附相关截图。</w:t>
      </w:r>
    </w:p>
    <w:p>
      <w:pPr>
        <w:pStyle w:val="null3"/>
      </w:pPr>
      <w:r>
        <w:rPr>
          <w:rFonts w:ascii="仿宋_GB2312" w:hAnsi="仿宋_GB2312" w:cs="仿宋_GB2312" w:eastAsia="仿宋_GB2312"/>
        </w:rPr>
        <w:t>7、供应商信誉证明：提供在参加政府招标活动前3年内在经营活动中没有重大违法记录，未被信用中国网(www.credtchina.gov.cn)列入失信被执行人、重大税收违法案件当事人名单，未被中国政府采购网(www.ccgp.gov.cn)列入政府招标严重违法失信行为记录名单的书面声明。</w:t>
      </w:r>
    </w:p>
    <w:p>
      <w:pPr>
        <w:pStyle w:val="null3"/>
      </w:pPr>
      <w:r>
        <w:rPr>
          <w:rFonts w:ascii="仿宋_GB2312" w:hAnsi="仿宋_GB2312" w:cs="仿宋_GB2312" w:eastAsia="仿宋_GB2312"/>
        </w:rPr>
        <w:t>8、财务报告：提供2024年度经审计的财务报告（成立时间至提交投标响应文件截止时间不足一年的可提供成立后任意时段的资产负债表），或磋商响应文件递交截止日前六个月内银行出具的资信证明。</w:t>
      </w:r>
    </w:p>
    <w:p>
      <w:pPr>
        <w:pStyle w:val="null3"/>
      </w:pPr>
      <w:r>
        <w:rPr>
          <w:rFonts w:ascii="仿宋_GB2312" w:hAnsi="仿宋_GB2312" w:cs="仿宋_GB2312" w:eastAsia="仿宋_GB2312"/>
        </w:rPr>
        <w:t>9、授权委托书：法定代表人授权书（附法定代表人、被授权人身份证复印件）及被授权人身份证（法定代表人直接参加招标，须提供法定代表人身份证明及身份证）</w:t>
      </w:r>
    </w:p>
    <w:p>
      <w:pPr>
        <w:pStyle w:val="null3"/>
      </w:pPr>
      <w:r>
        <w:rPr>
          <w:rFonts w:ascii="仿宋_GB2312" w:hAnsi="仿宋_GB2312" w:cs="仿宋_GB2312" w:eastAsia="仿宋_GB2312"/>
        </w:rPr>
        <w:t>10、非联合体承诺：本项目不接受联合体磋商。</w:t>
      </w:r>
    </w:p>
    <w:p>
      <w:pPr>
        <w:pStyle w:val="null3"/>
      </w:pPr>
      <w:r>
        <w:rPr>
          <w:rFonts w:ascii="仿宋_GB2312" w:hAnsi="仿宋_GB2312" w:cs="仿宋_GB2312" w:eastAsia="仿宋_GB2312"/>
        </w:rPr>
        <w:t>11、书面声明：提供具有履行合同所必需的设备和专业技术能力的书面声明。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铜川市新区坡头街道办事处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铜川市新区坡头街道76号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18791492797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陕西中远招标咨询有限公司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西安市碑林区和平路 71 号综合楼 6 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左惠芝、赵鹏飞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19991654502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采购包1：2,892,700.00元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的收取参见国家计委颁布的《招标代理服务收费管理暂行办法》（计价格[2002]1980号）和（发改办价格[2003]857号）收费标准计取。2、本次中标服务费按工程计取。3、成交供应商在领取成交通知书前，须向采购代理机构一次性支付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铜川市新区坡头街道办事处</w:t>
      </w:r>
      <w:r>
        <w:rPr>
          <w:rFonts w:ascii="仿宋_GB2312" w:hAnsi="仿宋_GB2312" w:cs="仿宋_GB2312" w:eastAsia="仿宋_GB2312"/>
        </w:rPr>
        <w:t>和</w:t>
      </w:r>
      <w:r>
        <w:rPr>
          <w:rFonts w:ascii="仿宋_GB2312" w:hAnsi="仿宋_GB2312" w:cs="仿宋_GB2312" w:eastAsia="仿宋_GB2312"/>
        </w:rPr>
        <w:t>陕西中远招标咨询有限公司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铜川市新区坡头街道办事处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陕西中远招标咨询有限公司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铜川市新区坡头街道办事处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陕西中远招标咨询有限公司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按照采购文件要求、国家及相关行业标准执行。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陕西中远招标咨询有限公司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陕西中远招标咨询有限公司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陕西中远招标咨询有限公司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联系人：左惠芝</w:t>
      </w:r>
    </w:p>
    <w:p>
      <w:pPr>
        <w:pStyle w:val="null3"/>
      </w:pPr>
      <w:r>
        <w:rPr>
          <w:rFonts w:ascii="仿宋_GB2312" w:hAnsi="仿宋_GB2312" w:cs="仿宋_GB2312" w:eastAsia="仿宋_GB2312"/>
        </w:rPr>
        <w:t>联系电话：19991654502</w:t>
      </w:r>
    </w:p>
    <w:p>
      <w:pPr>
        <w:pStyle w:val="null3"/>
      </w:pPr>
      <w:r>
        <w:rPr>
          <w:rFonts w:ascii="仿宋_GB2312" w:hAnsi="仿宋_GB2312" w:cs="仿宋_GB2312" w:eastAsia="仿宋_GB2312"/>
        </w:rPr>
        <w:t>地址：西安市碑林区和平路 71 号综合楼 6 楼</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2,892,700.00</w:t>
      </w:r>
    </w:p>
    <w:p>
      <w:pPr>
        <w:pStyle w:val="null3"/>
      </w:pPr>
      <w:r>
        <w:rPr>
          <w:rFonts w:ascii="仿宋_GB2312" w:hAnsi="仿宋_GB2312" w:cs="仿宋_GB2312" w:eastAsia="仿宋_GB2312"/>
        </w:rPr>
        <w:t>采购包最高限价（元）: 2,892,700.00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其他房屋施工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2,892,700.00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标的名称：其他房屋施工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（一）工程内容</w:t>
            </w:r>
            <w:r>
              <w:rPr>
                <w:rFonts w:ascii="仿宋_GB2312" w:hAnsi="仿宋_GB2312" w:cs="仿宋_GB2312" w:eastAsia="仿宋_GB2312"/>
                <w:sz w:val="21"/>
                <w:color w:val="000000"/>
              </w:rPr>
              <w:t xml:space="preserve">：在综合考虑铜川市新区国民经济和社会发展规划、老年人事业 </w:t>
            </w:r>
            <w:r>
              <w:rPr>
                <w:rFonts w:ascii="仿宋_GB2312" w:hAnsi="仿宋_GB2312" w:cs="仿宋_GB2312" w:eastAsia="仿宋_GB2312"/>
                <w:sz w:val="21"/>
                <w:color w:val="000000"/>
              </w:rPr>
              <w:t>发展布局的情况下，在铜川市新区坡头街道原敬老院内拟建铜川市新区坡头街道区域养老服务中心。结合土地面积、原有建筑等现状， 计划拆除原敬老院北侧平房，并原址重建一栋地上二层（局部三层） 服务用房；打造集康养住宿、文化体验为一体的综合养老服务中心， 新建总建筑面积 1064.54 ㎡；配套建设室内附属设施、内外照明、楼上下排水、消防等工程。（二）工程地点：该项目建设地址位于铜川市新区坡头街道华原村。（三）计划工期：根据类似项目经验及本项目的实际情况，建设期初步安排为 12 个月，具体开工时间根据项目前期手续报批制定。</w:t>
            </w:r>
          </w:p>
          <w:p>
            <w:pPr>
              <w:pStyle w:val="null3"/>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提供2024年度经审计的财务报告（成立时间至提交投标响应文件截止时间不足一年的可提供成立后任意时段的资产负债表），或磋商响应文件递交截止日前六个月内银行出具的资信证明。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主体情况</w:t>
            </w:r>
          </w:p>
        </w:tc>
        <w:tc>
          <w:tcPr>
            <w:tcW w:type="dxa" w:w="3322"/>
          </w:tcPr>
          <w:p>
            <w:pPr>
              <w:pStyle w:val="null3"/>
            </w:pPr>
            <w:r>
              <w:rPr>
                <w:rFonts w:ascii="仿宋_GB2312" w:hAnsi="仿宋_GB2312" w:cs="仿宋_GB2312" w:eastAsia="仿宋_GB2312"/>
              </w:rPr>
              <w:t>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供应商须具有建筑工程施工总承包三级及以上资质，并具有建设行政主管部门颁发的有效安全生产许可证。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须具备建筑工程专业二级及以上注册建造师执业资格，同时具备行政主管部门颁发的有效的安全生产考核合格证书（B证），在本单位注册且无在建工程。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入陕备案</w:t>
            </w:r>
          </w:p>
        </w:tc>
        <w:tc>
          <w:tcPr>
            <w:tcW w:type="dxa" w:w="3322"/>
          </w:tcPr>
          <w:p>
            <w:pPr>
              <w:pStyle w:val="null3"/>
            </w:pPr>
            <w:r>
              <w:rPr>
                <w:rFonts w:ascii="仿宋_GB2312" w:hAnsi="仿宋_GB2312" w:cs="仿宋_GB2312" w:eastAsia="仿宋_GB2312"/>
              </w:rPr>
              <w:t>供应商及拟派本项目经理需在陕西省住房和城乡建设厅网“陕西省建筑市场监管与诚信发布平台”录入信息且无不良行为，附相关截图。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招标活动前3年内在经营活动中没有重大违法记录，未被信用中国网(www.credtchina.gov.cn)列入失信被执行人、重大税收违法案件当事人名单，未被中国政府采购网(www.ccgp.gov.cn)列入政府招标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提供2024年度经审计的财务报告（成立时间至提交投标响应文件截止时间不足一年的可提供成立后任意时段的资产负债表），或磋商响应文件递交截止日前六个月内银行出具的资信证明。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法定代表人授权书（附法定代表人、被授权人身份证复印件）及被授权人身份证（法定代表人直接参加招标，须提供法定代表人身份证明及身份证）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符合法律、法规和谈判文件中规定的其他实质性要求</w:t>
            </w:r>
          </w:p>
        </w:tc>
        <w:tc>
          <w:tcPr>
            <w:tcW w:type="dxa" w:w="3322"/>
          </w:tcPr>
          <w:p>
            <w:pPr>
              <w:pStyle w:val="null3"/>
            </w:pPr>
            <w:r>
              <w:rPr>
                <w:rFonts w:ascii="仿宋_GB2312" w:hAnsi="仿宋_GB2312" w:cs="仿宋_GB2312" w:eastAsia="仿宋_GB2312"/>
              </w:rPr>
              <w:t>符合法律、法规和谈判文件中规定的其他实质性要求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根据供应商针对本项目提供的整体施工及技术措施进行综合评审。包括但不限于①施工方案、方法②技术措施内容③重点难点分析④专项施工方案等。每项满分2分，缺项不得分，每项内容存在缺陷，扣0.5-1.5分。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根据供应商针对本项目配备的项目部人员组成进行综合评审。包括但不限于①人员搭配②人员数量③人员经验④证明材料等。每项满分2分，缺项不得分，每项内容存在缺陷，扣0.5-1.5分。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根据供应商针对本项目提供的质量管理体系与措施进行综合评审。包括但不限于①质量管理体系与措施②工程质量保证承诺③施工质量的检验制度等。每项满分2分，缺项不得分，每项内容存在缺陷，扣0.5-1.5分。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根据供应商针对本项目提供的工程进度计划与措施进行综合评审。包括但不限于①工期横道图②工期计划③保证措施等。每项满分2分，缺项不得分，每项内容存在缺陷，扣0.5-1.5分。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主要材料和机械设备选用情况</w:t>
            </w:r>
          </w:p>
        </w:tc>
        <w:tc>
          <w:tcPr>
            <w:tcW w:type="dxa" w:w="2492"/>
          </w:tcPr>
          <w:p>
            <w:pPr>
              <w:pStyle w:val="null3"/>
            </w:pPr>
            <w:r>
              <w:rPr>
                <w:rFonts w:ascii="仿宋_GB2312" w:hAnsi="仿宋_GB2312" w:cs="仿宋_GB2312" w:eastAsia="仿宋_GB2312"/>
              </w:rPr>
              <w:t>根据供应商针对本项目提供的主要材料和设备选用情况进行综合评审，包括但不限于①主要材料和机械设备投入计划②主要材料和机械设备投入一览表③主要材料和机械设备质量相关证明材料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根据供应商提供的安全管理体系与措施、安全预案等进行综合评审。包括但不限于①安全管理制度②配置安全组织机构③应急预案、医疗救援及突发事件应急保障措施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根据供应商提供的环境保护管理体系与措施进行综合评审。包括但不限于①文明施工措施②环保施工措施③防尘降噪等技术保证措施等。每项满分2分，缺项不得分，每项内容存在缺陷，扣0.5-1.5分。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劳动力计划安排</w:t>
            </w:r>
          </w:p>
        </w:tc>
        <w:tc>
          <w:tcPr>
            <w:tcW w:type="dxa" w:w="2492"/>
          </w:tcPr>
          <w:p>
            <w:pPr>
              <w:pStyle w:val="null3"/>
            </w:pPr>
            <w:r>
              <w:rPr>
                <w:rFonts w:ascii="仿宋_GB2312" w:hAnsi="仿宋_GB2312" w:cs="仿宋_GB2312" w:eastAsia="仿宋_GB2312"/>
              </w:rPr>
              <w:t>根据供应商提供的劳动力计划安排及设备配置进行综合评审。包括但不限于①施工进度需求②劳动力计划安排方案③劳动力计划表等。每项满分2分，缺项不得分，每项内容存在缺陷，扣0.5-1.5分。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根据供应商提出的合理化建议进行评审，包括但不限于①提高工程质量的合理化建议②加快工程进度的合理化建议③降低工程成本的合理化建议等。每项满分2分，缺项不得分，每项内容存在缺陷，扣0.5-1.5分。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根据供应商新技术、新产品、新工艺、新材料应用，按其响应程度赋分。包括但不限于①新技术的应用②新产品的应用③新工艺的应用④新材料的应用等。每项满分1分，缺项不得分，每项内容存在缺陷，扣0.3-0.6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根据供应商提供的施工承诺进行评审。包括但不限于①保修服务措施及承诺②不得拖欠施工人员工资承诺③给施工人员缴纳保险的承诺等。每项满分1分，缺项不得分，每项内容存在缺陷，扣0.3-0.6分。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2023年 1月1日以来类似项目业绩，以合同签订日期为准。每提供1份业绩计1分，最高得5分。业绩证明（以合同或中标通知书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1、经初审合格的磋商响应文件，其最终报价为有效报价。 2、有效最低报价为基准价得30分。 3、按（磋商基准价/有效最终磋商报价）×30的公式计算报价得分。计算分数时四舍五入取小数点后两位。 4、报价不完整的，不进入磋商基准价的计算，本项得0分。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