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版本号：YCD-2025012F20251013001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园所提升项目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YCD-2025012F</w:t>
      </w:r>
      <w:r>
        <w:br/>
      </w:r>
      <w:r>
        <w:br/>
      </w:r>
      <w:r>
        <w:br/>
      </w:r>
    </w:p>
    <w:p>
      <w:pPr>
        <w:pStyle w:val="null3"/>
        <w:jc w:val="center"/>
        <w:outlineLvl w:val="2"/>
      </w:pPr>
      <w:r>
        <w:rPr>
          <w:rFonts w:ascii="仿宋_GB2312" w:hAnsi="仿宋_GB2312" w:cs="仿宋_GB2312" w:eastAsia="仿宋_GB2312"/>
          <w:sz w:val="28"/>
          <w:b/>
        </w:rPr>
        <w:t>铜川市新区第二幼儿园</w:t>
      </w:r>
    </w:p>
    <w:p>
      <w:pPr>
        <w:pStyle w:val="null3"/>
        <w:jc w:val="center"/>
        <w:outlineLvl w:val="2"/>
      </w:pPr>
      <w:r>
        <w:rPr>
          <w:rFonts w:ascii="仿宋_GB2312" w:hAnsi="仿宋_GB2312" w:cs="仿宋_GB2312" w:eastAsia="仿宋_GB2312"/>
          <w:sz w:val="28"/>
          <w:b/>
        </w:rPr>
        <w:t>远创项目管理有限公司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远创项目管理有限公司</w:t>
      </w:r>
      <w:r>
        <w:rPr>
          <w:rFonts w:ascii="仿宋_GB2312" w:hAnsi="仿宋_GB2312" w:cs="仿宋_GB2312" w:eastAsia="仿宋_GB2312"/>
        </w:rPr>
        <w:t>（以下简称“代理机构”）受</w:t>
      </w:r>
      <w:r>
        <w:rPr>
          <w:rFonts w:ascii="仿宋_GB2312" w:hAnsi="仿宋_GB2312" w:cs="仿宋_GB2312" w:eastAsia="仿宋_GB2312"/>
        </w:rPr>
        <w:t>铜川市新区第二幼儿园</w:t>
      </w:r>
      <w:r>
        <w:rPr>
          <w:rFonts w:ascii="仿宋_GB2312" w:hAnsi="仿宋_GB2312" w:cs="仿宋_GB2312" w:eastAsia="仿宋_GB2312"/>
        </w:rPr>
        <w:t>委托，拟对</w:t>
      </w:r>
      <w:r>
        <w:rPr>
          <w:rFonts w:ascii="仿宋_GB2312" w:hAnsi="仿宋_GB2312" w:cs="仿宋_GB2312" w:eastAsia="仿宋_GB2312"/>
        </w:rPr>
        <w:t>园所提升项目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YCD-2025012F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园所提升项目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幼儿园园所提升工程，室内外维修改造，管网提升、土建改造、弱电改造等。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采购包1（园所提升项目）：属于专门面向小微企业采购。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1、供应商资质要求：具备建设行政主管部门颁发的建筑工程施工总承包三级及以上资质，并具有有效的安全生产许可证；</w:t>
      </w:r>
    </w:p>
    <w:p>
      <w:pPr>
        <w:pStyle w:val="null3"/>
      </w:pPr>
      <w:r>
        <w:rPr>
          <w:rFonts w:ascii="仿宋_GB2312" w:hAnsi="仿宋_GB2312" w:cs="仿宋_GB2312" w:eastAsia="仿宋_GB2312"/>
        </w:rPr>
        <w:t>2、拟派项目负责人资质要求：具备建筑工程专业二级及以上注册建造师证书，并具备在有效期内的安全生产考核合格证，在本单位注册，且无在建项目（提供承诺书）；</w:t>
      </w:r>
    </w:p>
    <w:p>
      <w:pPr>
        <w:pStyle w:val="null3"/>
      </w:pPr>
      <w:r>
        <w:rPr>
          <w:rFonts w:ascii="仿宋_GB2312" w:hAnsi="仿宋_GB2312" w:cs="仿宋_GB2312" w:eastAsia="仿宋_GB2312"/>
        </w:rPr>
        <w:t>3、财务状况报告：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p>
      <w:pPr>
        <w:pStyle w:val="null3"/>
      </w:pPr>
      <w:r>
        <w:rPr>
          <w:rFonts w:ascii="仿宋_GB2312" w:hAnsi="仿宋_GB2312" w:cs="仿宋_GB2312" w:eastAsia="仿宋_GB2312"/>
        </w:rPr>
        <w:t>4、税收缴纳证明：提交响应文件截止时间三个月内任意一个月的纳税证明或完税证明，纳税证明或完税证明上应有代收机构或税务机关的公章或业务专用章。（依法免税的供应商应提供相应文件证明）；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缴纳证明：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6、身份证明：法定代表人（主要负责人）委托代理人参加投标时，应提供法定代表人（主要负责人）委托授权书；法定代表人（主要负责人）亲自参加投标时，应提供法定代表人（主要负责人）身份证明；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7、控股关系证明：单位负责人为同一人或者存在直接控股、管理关系的不同供应商，不得参加同一合同项下的政府采购活动；（提供承诺书）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铜川市新区第二幼儿园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铜川市新区锦绣园A区院内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18609192819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远创项目管理有限公司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陕西省西安市碑林区友谊东路6号新兴翰园B座2-163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18091933523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采购包1：1,077,342.00元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代理服务费收费标准：采购代理服务费按国家计委颁发的《招标代理服务收费管理暂行办法》(计价格〔2002〕1980号)文件中的有关规定计取。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铜川市新区第二幼儿园</w:t>
      </w:r>
      <w:r>
        <w:rPr>
          <w:rFonts w:ascii="仿宋_GB2312" w:hAnsi="仿宋_GB2312" w:cs="仿宋_GB2312" w:eastAsia="仿宋_GB2312"/>
        </w:rPr>
        <w:t>和</w:t>
      </w:r>
      <w:r>
        <w:rPr>
          <w:rFonts w:ascii="仿宋_GB2312" w:hAnsi="仿宋_GB2312" w:cs="仿宋_GB2312" w:eastAsia="仿宋_GB2312"/>
        </w:rPr>
        <w:t>远创项目管理有限公司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铜川市新区第二幼儿园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远创项目管理有限公司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铜川市新区第二幼儿园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一、（一）按国家现行项目实施规范和合同规定的验收评定标准等要求进行验收。 （二）验收依据：1、本项目采购文件、响应文件；2、本项目合同及附件文本； 3、合同签订时国家及行业现行的标准和技术规范。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联系人：杨花</w:t>
      </w:r>
    </w:p>
    <w:p>
      <w:pPr>
        <w:pStyle w:val="null3"/>
      </w:pPr>
      <w:r>
        <w:rPr>
          <w:rFonts w:ascii="仿宋_GB2312" w:hAnsi="仿宋_GB2312" w:cs="仿宋_GB2312" w:eastAsia="仿宋_GB2312"/>
        </w:rPr>
        <w:t>联系电话：18091933523</w:t>
      </w:r>
    </w:p>
    <w:p>
      <w:pPr>
        <w:pStyle w:val="null3"/>
      </w:pPr>
      <w:r>
        <w:rPr>
          <w:rFonts w:ascii="仿宋_GB2312" w:hAnsi="仿宋_GB2312" w:cs="仿宋_GB2312" w:eastAsia="仿宋_GB2312"/>
        </w:rPr>
        <w:t>地址：陕西省西安市碑林区友谊东路6号新兴翰园B座2-163</w:t>
      </w:r>
    </w:p>
    <w:p>
      <w:pPr>
        <w:pStyle w:val="null3"/>
      </w:pPr>
      <w:r>
        <w:rPr>
          <w:rFonts w:ascii="仿宋_GB2312" w:hAnsi="仿宋_GB2312" w:cs="仿宋_GB2312" w:eastAsia="仿宋_GB2312"/>
        </w:rPr>
        <w:t>邮编：710072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1,077,342.00</w:t>
      </w:r>
    </w:p>
    <w:p>
      <w:pPr>
        <w:pStyle w:val="null3"/>
      </w:pPr>
      <w:r>
        <w:rPr>
          <w:rFonts w:ascii="仿宋_GB2312" w:hAnsi="仿宋_GB2312" w:cs="仿宋_GB2312" w:eastAsia="仿宋_GB2312"/>
        </w:rPr>
        <w:t>采购包最高限价（元）: 1,077,342.00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园所提升项目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1,077,342.00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标的名称：园所提升项目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6"/>
                <w:color w:val="000000"/>
              </w:rPr>
              <w:t>达到国家及行业现行技术规范标准，符合国家及行业验收合格标准，施工过程中要</w:t>
            </w:r>
            <w:r>
              <w:rPr>
                <w:rFonts w:ascii="仿宋_GB2312" w:hAnsi="仿宋_GB2312" w:cs="仿宋_GB2312" w:eastAsia="仿宋_GB2312"/>
                <w:sz w:val="16"/>
                <w:color w:val="000000"/>
              </w:rPr>
              <w:t>严格控制材料的使用，确保施工质量符合约定的质量合格标准。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达到国家及行业现行技术规范标准，符合国家及行业验收合格标准，施工过程中要严格控制材料的使用，确保施工质量符合约定的质量合格标准。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程建设过程中所发生的安全事故、人身财产损害或对第三方造成的财产均由成交供应商承担。2.所有材料必须使用合格产品。3.项目实施过程中应对原有成品、家具等采用彩条布、塑料薄膜等进行覆盖及保护。4.施工单位应及时清运施工过程中产生的建筑垃圾，如未及时清理，存在潜在风险造成的安全事故及损失由施工单位承担。5.项目实施过程中所有破坏的建筑装修装饰、元器件等均按原标准予以恢复。 6.工程完毕后需对现场进行完全保洁，保洁标准达到采购人需求。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量清单详见附件，供应商应充分考虑磋商文件的各项条款和掌握的市场情况结合本想项目实际情况采取自主报价，单价包含项目名称描述的所有工作内容的一切费用。可不按照2.4.7的第三条合同价格形式进行报价； （2）工期：2025年12月30日前完工并通过验收； （3）质保期： 自项目竣工验收合格之日起3年； （4）投标人无需提交纸质投标文件，待采购结果公告后，由中标（成交）单位补交纸质（与电子版内容保持一致）投标文件（正本壹份、副本贰份、电子版（U盘）贰份）。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具备建设行政主管部门颁发的建筑工程施工总承包三级及以上资质，并具有有效的安全生产许可证；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 项目管理机构组成表 中小企业声明函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具备建筑工程专业二级及以上注册建造师证书，并具备在有效期内的安全生产考核合格证，在本单位注册，且无在建项目（提供承诺书）；</w:t>
            </w:r>
          </w:p>
        </w:tc>
        <w:tc>
          <w:tcPr>
            <w:tcW w:type="dxa" w:w="1661"/>
          </w:tcPr>
          <w:p>
            <w:pPr>
              <w:pStyle w:val="null3"/>
            </w:pPr>
            <w:r>
              <w:rPr>
                <w:rFonts w:ascii="仿宋_GB2312" w:hAnsi="仿宋_GB2312" w:cs="仿宋_GB2312" w:eastAsia="仿宋_GB2312"/>
              </w:rPr>
              <w:t>项目管理机构组成表 响应函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提交响应文件截止时间三个月内任意一个月的纳税证明或完税证明，纳税证明或完税证明上应有代收机构或税务机关的公章或业务专用章。（依法免税的供应商应提供相应文件证明）；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社会保障缴纳证明</w:t>
            </w:r>
          </w:p>
        </w:tc>
        <w:tc>
          <w:tcPr>
            <w:tcW w:type="dxa" w:w="3322"/>
          </w:tcPr>
          <w:p>
            <w:pPr>
              <w:pStyle w:val="null3"/>
            </w:pPr>
            <w:r>
              <w:rPr>
                <w:rFonts w:ascii="仿宋_GB2312" w:hAnsi="仿宋_GB2312" w:cs="仿宋_GB2312" w:eastAsia="仿宋_GB2312"/>
              </w:rPr>
              <w:t>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控股关系证明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单位负责人为同一人或者存在直接控股、管理关系的不同供应商，不得参加同一合同项下的政府采购活动；（提供承诺书）</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w:t>
            </w:r>
          </w:p>
        </w:tc>
        <w:tc>
          <w:tcPr>
            <w:tcW w:type="dxa" w:w="3322"/>
          </w:tcPr>
          <w:p>
            <w:pPr>
              <w:pStyle w:val="null3"/>
            </w:pPr>
            <w:r>
              <w:rPr>
                <w:rFonts w:ascii="仿宋_GB2312" w:hAnsi="仿宋_GB2312" w:cs="仿宋_GB2312" w:eastAsia="仿宋_GB2312"/>
              </w:rPr>
              <w:t>无重大缺漏项、偏离；格式、填写要求符合磋商文件规定并加盖供应商电子签章</w:t>
            </w:r>
          </w:p>
        </w:tc>
        <w:tc>
          <w:tcPr>
            <w:tcW w:type="dxa" w:w="1661"/>
          </w:tcPr>
          <w:p>
            <w:pPr>
              <w:pStyle w:val="null3"/>
            </w:pPr>
            <w:r>
              <w:rPr>
                <w:rFonts w:ascii="仿宋_GB2312" w:hAnsi="仿宋_GB2312" w:cs="仿宋_GB2312" w:eastAsia="仿宋_GB2312"/>
              </w:rPr>
              <w:t>响应文件封面 技术方案.docx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对工期、质保期、质量标准的响应</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每轮报价只有一个报价，无选择性报价</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按磋商文件要求提供授权委托书</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响应文件不得含有采购人不能接受的附加条件并需满足本竞争性磋商文件中实质性要求</w:t>
            </w:r>
          </w:p>
        </w:tc>
        <w:tc>
          <w:tcPr>
            <w:tcW w:type="dxa" w:w="3322"/>
          </w:tcPr>
          <w:p>
            <w:pPr>
              <w:pStyle w:val="null3"/>
            </w:pPr>
            <w:r>
              <w:rPr>
                <w:rFonts w:ascii="仿宋_GB2312" w:hAnsi="仿宋_GB2312" w:cs="仿宋_GB2312" w:eastAsia="仿宋_GB2312"/>
              </w:rPr>
              <w:t>响应文件不得含有采购人不能接受的附加条件并需满足本竞争性磋商文件中实质性要求</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一、评审内容：①施工组织设计；②工艺流程。 二、评审标准：①科学性：方案符合项目实际需求；②创新性：采用先进施工技术或管理方法。 三、赋分标准（满分10分): ①针对施工组织设计，每完全响应文件封面满足一项评审标准得2.5分，满分5分；存在瑕疵扣0.1-2.5分。 ②针对工艺流程，每完全满足一项评审标准得2.5分，满分5分；存在瑕疵扣0.1-2.5分。注：瑕疵是指内容不完整或不详细或内容前后表述不一致或缺项或缺少关键点。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一、评审内容：①质量管理体系；②过程控制措施。 二、评审标准：①完整性：覆盖全生命周期质量管理；②合理性：可落地执行。 三、赋分标准（满分10分）：①针对质量管理体系，每完全满足一项评审标准得2.5分，满分5分；存在瑕疵扣0.1-2.5分。②针对过程控制措施，每完全满足一项评审标准得2.5分，满分5分；存在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一、评审内容：①安全责任体系；②风险防控措施。 二、评审标准：①合规性：符合国家强制标准；②实操性：可落地执行。 三、赋分标准（满分10分）：①针对安全责任体系，每完全满足一项评审标准得2. 5分，满分5分；存在瑕疵扣0.1-2.5分。 ②针对风险防控措施，每完全满足一项评审标准得2.5分，满分5分；存在瑕疵扣0.1-2.5分。注：瑕疵是指内容不完整或不详细或内容前后表述不一致或缺项或缺少关键点。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确保文明施工及环境保护措施</w:t>
            </w:r>
          </w:p>
        </w:tc>
        <w:tc>
          <w:tcPr>
            <w:tcW w:type="dxa" w:w="2492"/>
          </w:tcPr>
          <w:p>
            <w:pPr>
              <w:pStyle w:val="null3"/>
            </w:pPr>
            <w:r>
              <w:rPr>
                <w:rFonts w:ascii="仿宋_GB2312" w:hAnsi="仿宋_GB2312" w:cs="仿宋_GB2312" w:eastAsia="仿宋_GB2312"/>
              </w:rPr>
              <w:t>一、评审内容：①噪声控制方案；②废弃物处置。 二、评审标准：①标准化：符合绿色施工规范；②实操性：措施可落地执行。 三、赋分标准（满分10分）： ①针对噪声控制方案，每完全满足一项评审标准得2.5分，满分5分；存在瑕疵扣0.1-2.5分。 ②针对废弃物处置，每完全满足一项评审标准得2.5分，满分5分；存在瑕疵扣0.1-2.5分。注：瑕疵是指内容不完整或不详细或内容前后表述不一致或缺项或缺少关键点。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一、评审内容：①进度网络图；②关键路径分析。 二、评审标准：①合理性：符合项目实际；②抗风险能力：有进度风险监控及应对机制。 三、赋分标准（满分10分）：①针对进度网络图，每完全满足一项评审标准得2.5分，满分5分；存在瑕疵扣0.1-2.5分。②针对关键路径分析，每完全满足一项评审标准得2.5分，满分5分；存在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一、评审内容：①人员配置；②从业经验。 二、评审标准：①完整性：内容齐全合理；②合理性：贴合项目实际。 三、赋分标准（满分8分）：①针对人员配置，每完全满足一项评审标准得2分，满分4分；存在瑕疵扣0.1-2分。②针对从业经验，每完全满足一项评审标准得2分，满分4分；存在瑕疵扣0.1-2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一、评审内容：①机械选型；②材料进场计划。 二、评审标准：①适配性：满足最大工况需求；②精准性：符合项目实际需求。 三、赋分标准（满分6分）： ①针对机械选型，每完全满足一项评审标准得1.5分，满分3分；存在瑕疵扣0.1-1.5分。 ②针对材料进场计划，每完全满足一项评审标准得1.5分，满 分3分；存在瑕疵扣0.1-1.5分。 注 ：瑕疵是指内容不完整或不详细或内容前后表述不一致或缺项或缺少关键点。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以合同的形式提供自2022年10月至今类似项目业绩，每份2分，满分6分.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